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bookmarkStart w:id="4" w:name="_GoBack"/>
      <w:bookmarkEnd w:id="4"/>
      <w:r>
        <w:rPr>
          <w:rFonts w:hint="eastAsia" w:eastAsia="方正小标宋简体"/>
          <w:bCs/>
          <w:sz w:val="44"/>
          <w:szCs w:val="44"/>
        </w:rPr>
        <w:t>）</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智能制造学院   </w:t>
      </w:r>
      <w:r>
        <w:rPr>
          <w:rFonts w:hint="eastAsia"/>
          <w:b/>
          <w:bCs/>
          <w:szCs w:val="21"/>
        </w:rPr>
        <w:t xml:space="preserve"> 姓名： </w:t>
      </w:r>
      <w:r>
        <w:rPr>
          <w:rFonts w:hint="eastAsia"/>
          <w:b/>
          <w:bCs/>
          <w:szCs w:val="21"/>
          <w:lang w:val="en-US" w:eastAsia="zh-CN"/>
        </w:rPr>
        <w:t>李宁</w:t>
      </w:r>
      <w:r>
        <w:rPr>
          <w:rFonts w:hint="eastAsia"/>
          <w:b/>
          <w:bCs/>
          <w:szCs w:val="21"/>
        </w:rPr>
        <w:t xml:space="preserve">   性别： </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副教授，教学型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机械设计与制造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281"/>
        <w:gridCol w:w="1537"/>
        <w:gridCol w:w="1180"/>
        <w:gridCol w:w="2731"/>
        <w:gridCol w:w="1202"/>
        <w:gridCol w:w="1163"/>
        <w:gridCol w:w="1187"/>
        <w:gridCol w:w="2201"/>
        <w:gridCol w:w="1186"/>
        <w:gridCol w:w="1247"/>
        <w:gridCol w:w="1103"/>
        <w:gridCol w:w="881"/>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281"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537"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281" w:type="dxa"/>
            <w:vAlign w:val="center"/>
          </w:tcPr>
          <w:p w14:paraId="54A2E1B5">
            <w:pPr>
              <w:adjustRightInd w:val="0"/>
              <w:snapToGrid w:val="0"/>
              <w:spacing w:line="276" w:lineRule="auto"/>
              <w:jc w:val="center"/>
              <w:rPr>
                <w:rFonts w:hint="default" w:eastAsia="宋体"/>
                <w:szCs w:val="21"/>
                <w:lang w:val="en-US" w:eastAsia="zh-CN"/>
              </w:rPr>
            </w:pPr>
            <w:r>
              <w:rPr>
                <w:rFonts w:hint="eastAsia"/>
                <w:szCs w:val="21"/>
                <w:lang w:val="en-US" w:eastAsia="zh-CN"/>
              </w:rPr>
              <w:t>高级工程师</w:t>
            </w:r>
          </w:p>
        </w:tc>
        <w:tc>
          <w:tcPr>
            <w:tcW w:w="1537"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2020.12，2020.12</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中国科学院</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材料</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2009.7</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中国科学院</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材料</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2009.7</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szCs w:val="21"/>
                <w:lang w:val="en-US" w:eastAsia="zh-CN"/>
              </w:rPr>
              <w:t>智能制造</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281" w:type="dxa"/>
            <w:vAlign w:val="center"/>
          </w:tcPr>
          <w:p w14:paraId="27D9DA44">
            <w:pPr>
              <w:adjustRightInd w:val="0"/>
              <w:snapToGrid w:val="0"/>
              <w:spacing w:line="276" w:lineRule="auto"/>
              <w:jc w:val="center"/>
              <w:rPr>
                <w:b/>
                <w:szCs w:val="21"/>
              </w:rPr>
            </w:pPr>
            <w:r>
              <w:rPr>
                <w:rFonts w:hint="eastAsia"/>
                <w:b/>
                <w:szCs w:val="21"/>
              </w:rPr>
              <w:t>二级指标</w:t>
            </w:r>
          </w:p>
        </w:tc>
        <w:tc>
          <w:tcPr>
            <w:tcW w:w="14737"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881"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281" w:type="dxa"/>
            <w:vAlign w:val="center"/>
          </w:tcPr>
          <w:p w14:paraId="2FB1F834">
            <w:pPr>
              <w:adjustRightInd w:val="0"/>
              <w:snapToGrid w:val="0"/>
              <w:spacing w:line="276" w:lineRule="auto"/>
              <w:jc w:val="center"/>
              <w:rPr>
                <w:szCs w:val="21"/>
              </w:rPr>
            </w:pPr>
            <w:r>
              <w:rPr>
                <w:rFonts w:hint="eastAsia"/>
                <w:szCs w:val="21"/>
              </w:rPr>
              <w:t xml:space="preserve">1-1 </w:t>
            </w:r>
          </w:p>
        </w:tc>
        <w:tc>
          <w:tcPr>
            <w:tcW w:w="14737"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34B925DD">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6AE4DE74">
            <w:pPr>
              <w:adjustRightInd w:val="0"/>
              <w:snapToGrid w:val="0"/>
              <w:spacing w:line="276" w:lineRule="auto"/>
              <w:rPr>
                <w:rFonts w:hint="eastAsia" w:ascii="宋体" w:hAnsi="宋体" w:eastAsia="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（1）</w:t>
            </w:r>
            <w:r>
              <w:rPr>
                <w:rFonts w:hint="eastAsia" w:ascii="宋体" w:hAnsi="宋体" w:eastAsia="宋体" w:cs="宋体"/>
                <w:color w:val="000000"/>
                <w:kern w:val="2"/>
                <w:sz w:val="21"/>
                <w:szCs w:val="21"/>
                <w:lang w:val="en-US" w:eastAsia="zh-CN" w:bidi="ar-SA"/>
              </w:rPr>
              <w:t>2024年1月，长沙市技术能手，长沙市人力资源与社会保障局，计6分。</w:t>
            </w:r>
          </w:p>
          <w:p w14:paraId="5B9F5818">
            <w:pPr>
              <w:adjustRightInd w:val="0"/>
              <w:snapToGrid w:val="0"/>
              <w:spacing w:line="276" w:lineRule="auto"/>
              <w:rPr>
                <w:rFonts w:hint="default" w:ascii="宋体" w:hAnsi="宋体" w:eastAsia="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（2）2025年3月，湖南省楚怡杯职业院校技能竞赛“优秀指导教师”，湖南省教育厅，计12分</w:t>
            </w:r>
          </w:p>
        </w:tc>
        <w:tc>
          <w:tcPr>
            <w:tcW w:w="881"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18</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281" w:type="dxa"/>
            <w:vAlign w:val="center"/>
          </w:tcPr>
          <w:p w14:paraId="500FCCA3">
            <w:pPr>
              <w:adjustRightInd w:val="0"/>
              <w:snapToGrid w:val="0"/>
              <w:spacing w:line="276" w:lineRule="auto"/>
              <w:jc w:val="center"/>
              <w:rPr>
                <w:szCs w:val="21"/>
              </w:rPr>
            </w:pPr>
            <w:r>
              <w:rPr>
                <w:rFonts w:hint="eastAsia"/>
                <w:szCs w:val="21"/>
              </w:rPr>
              <w:t>1-2</w:t>
            </w:r>
          </w:p>
        </w:tc>
        <w:tc>
          <w:tcPr>
            <w:tcW w:w="14737"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881"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281" w:type="dxa"/>
            <w:vAlign w:val="center"/>
          </w:tcPr>
          <w:p w14:paraId="4250F0D2">
            <w:pPr>
              <w:adjustRightInd w:val="0"/>
              <w:snapToGrid w:val="0"/>
              <w:spacing w:line="276" w:lineRule="auto"/>
              <w:jc w:val="center"/>
              <w:rPr>
                <w:szCs w:val="21"/>
              </w:rPr>
            </w:pPr>
            <w:r>
              <w:rPr>
                <w:rFonts w:hint="eastAsia"/>
                <w:szCs w:val="21"/>
              </w:rPr>
              <w:t>1-3</w:t>
            </w:r>
          </w:p>
        </w:tc>
        <w:tc>
          <w:tcPr>
            <w:tcW w:w="14737"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881"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281"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737"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281"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737"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2" w:hRule="atLeast"/>
        </w:trPr>
        <w:tc>
          <w:tcPr>
            <w:tcW w:w="646" w:type="dxa"/>
            <w:vMerge w:val="continue"/>
            <w:vAlign w:val="center"/>
          </w:tcPr>
          <w:p w14:paraId="6C168EA1">
            <w:pPr>
              <w:adjustRightInd w:val="0"/>
              <w:snapToGrid w:val="0"/>
              <w:spacing w:line="276" w:lineRule="auto"/>
              <w:jc w:val="center"/>
              <w:rPr>
                <w:b/>
                <w:szCs w:val="21"/>
              </w:rPr>
            </w:pPr>
          </w:p>
        </w:tc>
        <w:tc>
          <w:tcPr>
            <w:tcW w:w="1281"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737"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（1）2015年年度考核优秀，计1分</w:t>
            </w:r>
          </w:p>
          <w:p w14:paraId="007E75A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（2）2016年年度考核优秀，计1分</w:t>
            </w:r>
          </w:p>
          <w:p w14:paraId="6DFA974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（3）2018年年度考核优秀，计1分</w:t>
            </w:r>
          </w:p>
          <w:p w14:paraId="519A23D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（4）2019年年度考核优秀，计1分</w:t>
            </w:r>
          </w:p>
          <w:p w14:paraId="1A37F27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（5）2021年年度考核优秀，计1分</w:t>
            </w:r>
          </w:p>
          <w:p w14:paraId="7BFBBE3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（6）2022年年度考核优秀，计1分</w:t>
            </w:r>
          </w:p>
        </w:tc>
        <w:tc>
          <w:tcPr>
            <w:tcW w:w="881"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281" w:type="dxa"/>
            <w:vAlign w:val="center"/>
          </w:tcPr>
          <w:p w14:paraId="5FD7A916">
            <w:pPr>
              <w:adjustRightInd w:val="0"/>
              <w:snapToGrid w:val="0"/>
              <w:spacing w:line="276" w:lineRule="auto"/>
              <w:jc w:val="center"/>
              <w:rPr>
                <w:szCs w:val="21"/>
              </w:rPr>
            </w:pPr>
            <w:r>
              <w:rPr>
                <w:rFonts w:hint="eastAsia"/>
                <w:szCs w:val="21"/>
              </w:rPr>
              <w:t>2-1</w:t>
            </w:r>
          </w:p>
        </w:tc>
        <w:tc>
          <w:tcPr>
            <w:tcW w:w="14737"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w:t>
            </w:r>
            <w:r>
              <w:rPr>
                <w:rFonts w:hint="eastAsia" w:eastAsia="宋体"/>
                <w:b w:val="0"/>
                <w:bCs w:val="0"/>
                <w:color w:val="auto"/>
                <w:vertAlign w:val="baseline"/>
                <w:lang w:val="en-US" w:eastAsia="zh-CN"/>
              </w:rPr>
              <w:t>20</w:t>
            </w:r>
            <w:r>
              <w:rPr>
                <w:rFonts w:hint="eastAsia"/>
                <w:b w:val="0"/>
                <w:bCs w:val="0"/>
                <w:color w:val="auto"/>
                <w:vertAlign w:val="baseline"/>
                <w:lang w:val="en-US" w:eastAsia="zh-CN"/>
              </w:rPr>
              <w:t>09</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中国科学院硕士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881"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646" w:type="dxa"/>
            <w:vMerge w:val="continue"/>
            <w:vAlign w:val="center"/>
          </w:tcPr>
          <w:p w14:paraId="18EABB5F">
            <w:pPr>
              <w:adjustRightInd w:val="0"/>
              <w:snapToGrid w:val="0"/>
              <w:spacing w:line="276" w:lineRule="auto"/>
              <w:jc w:val="center"/>
              <w:rPr>
                <w:b/>
                <w:szCs w:val="21"/>
              </w:rPr>
            </w:pPr>
          </w:p>
        </w:tc>
        <w:tc>
          <w:tcPr>
            <w:tcW w:w="1281"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737"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C25736C">
            <w:pPr>
              <w:numPr>
                <w:ilvl w:val="0"/>
                <w:numId w:val="1"/>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大学英语六级+符合外语考试目录的第（5）条，计3分；</w:t>
            </w:r>
          </w:p>
          <w:p w14:paraId="5CC52A7B">
            <w:pPr>
              <w:numPr>
                <w:ilvl w:val="0"/>
                <w:numId w:val="1"/>
              </w:num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全国计算机等级考试（三级数据库技术），符合计算机考试目录第（2）条+计3分</w:t>
            </w:r>
          </w:p>
        </w:tc>
        <w:tc>
          <w:tcPr>
            <w:tcW w:w="881"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46" w:type="dxa"/>
            <w:vMerge w:val="continue"/>
            <w:vAlign w:val="center"/>
          </w:tcPr>
          <w:p w14:paraId="5943FAAD">
            <w:pPr>
              <w:adjustRightInd w:val="0"/>
              <w:snapToGrid w:val="0"/>
              <w:spacing w:line="276" w:lineRule="auto"/>
              <w:jc w:val="center"/>
              <w:rPr>
                <w:b/>
                <w:szCs w:val="21"/>
              </w:rPr>
            </w:pPr>
          </w:p>
        </w:tc>
        <w:tc>
          <w:tcPr>
            <w:tcW w:w="1281" w:type="dxa"/>
            <w:vAlign w:val="center"/>
          </w:tcPr>
          <w:p w14:paraId="02AC0D9E">
            <w:pPr>
              <w:adjustRightInd w:val="0"/>
              <w:snapToGrid w:val="0"/>
              <w:spacing w:line="276" w:lineRule="auto"/>
              <w:jc w:val="center"/>
              <w:rPr>
                <w:szCs w:val="21"/>
              </w:rPr>
            </w:pPr>
            <w:r>
              <w:rPr>
                <w:rFonts w:hint="eastAsia"/>
                <w:szCs w:val="21"/>
              </w:rPr>
              <w:t>2-3</w:t>
            </w:r>
          </w:p>
        </w:tc>
        <w:tc>
          <w:tcPr>
            <w:tcW w:w="14737"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47012CAA">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2020年度至2024年度继续教育经人社部门验证合格，计5分</w:t>
            </w:r>
          </w:p>
        </w:tc>
        <w:tc>
          <w:tcPr>
            <w:tcW w:w="881"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281" w:type="dxa"/>
            <w:vAlign w:val="center"/>
          </w:tcPr>
          <w:p w14:paraId="715E06E1">
            <w:pPr>
              <w:adjustRightInd w:val="0"/>
              <w:snapToGrid w:val="0"/>
              <w:spacing w:line="276" w:lineRule="auto"/>
              <w:jc w:val="center"/>
              <w:rPr>
                <w:szCs w:val="21"/>
              </w:rPr>
            </w:pPr>
            <w:r>
              <w:rPr>
                <w:rFonts w:hint="eastAsia"/>
                <w:szCs w:val="21"/>
              </w:rPr>
              <w:t>2-4</w:t>
            </w:r>
          </w:p>
        </w:tc>
        <w:tc>
          <w:tcPr>
            <w:tcW w:w="14737"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065685B8">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双师双能认定层次+认定时间，计X分。</w:t>
            </w:r>
          </w:p>
          <w:p w14:paraId="2DB84049">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如未在省教育厅双师型教师认定名单的，请说明认定理由。</w:t>
            </w:r>
          </w:p>
          <w:p w14:paraId="1F1BF55E">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（1）省教育厅双师双能型教师，中级，2025年5月，计6分。</w:t>
            </w:r>
          </w:p>
        </w:tc>
        <w:tc>
          <w:tcPr>
            <w:tcW w:w="881"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9"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281"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737"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7935B27B">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1</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月至2021年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520</w:t>
            </w:r>
            <w:r>
              <w:rPr>
                <w:rFonts w:hint="eastAsia"/>
                <w:color w:val="000000" w:themeColor="text1"/>
                <w:szCs w:val="21"/>
                <w14:textFill>
                  <w14:solidFill>
                    <w14:schemeClr w14:val="tx1"/>
                  </w14:solidFill>
                </w14:textFill>
              </w:rPr>
              <w:t>学时</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课堂教学时量520学时，该期间在湖南大学</w:t>
            </w:r>
            <w:r>
              <w:rPr>
                <w:rFonts w:hint="eastAsia"/>
                <w:color w:val="000000" w:themeColor="text1"/>
                <w:szCs w:val="21"/>
                <w:lang w:eastAsia="zh-CN"/>
                <w14:textFill>
                  <w14:solidFill>
                    <w14:schemeClr w14:val="tx1"/>
                  </w14:solidFill>
                </w14:textFill>
              </w:rPr>
              <w:t>）</w:t>
            </w:r>
          </w:p>
          <w:p w14:paraId="291E833F">
            <w:pPr>
              <w:adjustRightInd w:val="0"/>
              <w:snapToGrid w:val="0"/>
              <w:spacing w:line="276" w:lineRule="auto"/>
              <w:rPr>
                <w:rFonts w:hint="eastAsia" w:eastAsia="宋体"/>
                <w:color w:val="auto"/>
                <w:szCs w:val="21"/>
                <w:lang w:val="en-US" w:eastAsia="zh-CN"/>
              </w:rPr>
            </w:pPr>
            <w:r>
              <w:rPr>
                <w:rFonts w:hint="eastAsia"/>
                <w:color w:val="auto"/>
                <w:szCs w:val="21"/>
                <w:lang w:eastAsia="zh-CN"/>
              </w:rPr>
              <w:t>（</w:t>
            </w:r>
            <w:r>
              <w:rPr>
                <w:rFonts w:hint="eastAsia"/>
                <w:color w:val="auto"/>
                <w:szCs w:val="21"/>
                <w:lang w:val="en-US" w:eastAsia="zh-CN"/>
              </w:rPr>
              <w:t>2</w:t>
            </w:r>
            <w:r>
              <w:rPr>
                <w:rFonts w:hint="eastAsia"/>
                <w:color w:val="auto"/>
                <w:szCs w:val="21"/>
                <w:lang w:eastAsia="zh-CN"/>
              </w:rPr>
              <w:t>）</w:t>
            </w:r>
            <w:r>
              <w:rPr>
                <w:rFonts w:hint="eastAsia"/>
                <w:color w:val="auto"/>
                <w:szCs w:val="21"/>
              </w:rPr>
              <w:t>202</w:t>
            </w:r>
            <w:r>
              <w:rPr>
                <w:rFonts w:hint="eastAsia"/>
                <w:color w:val="auto"/>
                <w:szCs w:val="21"/>
                <w:lang w:val="en-US" w:eastAsia="zh-CN"/>
              </w:rPr>
              <w:t>2</w:t>
            </w:r>
            <w:r>
              <w:rPr>
                <w:rFonts w:hint="eastAsia"/>
                <w:color w:val="auto"/>
                <w:szCs w:val="21"/>
              </w:rPr>
              <w:t>年</w:t>
            </w:r>
            <w:r>
              <w:rPr>
                <w:rFonts w:hint="eastAsia"/>
                <w:color w:val="auto"/>
                <w:szCs w:val="21"/>
                <w:lang w:val="en-US" w:eastAsia="zh-CN"/>
              </w:rPr>
              <w:t>1</w:t>
            </w:r>
            <w:r>
              <w:rPr>
                <w:rFonts w:hint="eastAsia"/>
                <w:color w:val="auto"/>
                <w:szCs w:val="21"/>
              </w:rPr>
              <w:t>月至2022年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540</w:t>
            </w:r>
            <w:r>
              <w:rPr>
                <w:rFonts w:hint="eastAsia"/>
                <w:color w:val="000000" w:themeColor="text1"/>
                <w:szCs w:val="21"/>
                <w14:textFill>
                  <w14:solidFill>
                    <w14:schemeClr w14:val="tx1"/>
                  </w14:solidFill>
                </w14:textFill>
              </w:rPr>
              <w:t>学时</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课堂教学时量540学时，该期间在湖南大学</w:t>
            </w:r>
            <w:r>
              <w:rPr>
                <w:rFonts w:hint="eastAsia"/>
                <w:color w:val="000000" w:themeColor="text1"/>
                <w:szCs w:val="21"/>
                <w:lang w:eastAsia="zh-CN"/>
                <w14:textFill>
                  <w14:solidFill>
                    <w14:schemeClr w14:val="tx1"/>
                  </w14:solidFill>
                </w14:textFill>
              </w:rPr>
              <w:t>）</w:t>
            </w:r>
          </w:p>
          <w:p w14:paraId="3DD88D2C">
            <w:pPr>
              <w:adjustRightInd w:val="0"/>
              <w:snapToGrid w:val="0"/>
              <w:spacing w:line="276" w:lineRule="auto"/>
              <w:rPr>
                <w:rFonts w:hint="default" w:eastAsia="宋体"/>
                <w:color w:val="FF0000"/>
                <w:szCs w:val="21"/>
                <w:lang w:val="en-US" w:eastAsia="zh-CN"/>
              </w:rPr>
            </w:pP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课时484学时 </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2023年1月-2023年8月在湖南大学；2023年9月入职湖南开放大学。课堂教学时量412学时，实践教学时量72学时</w:t>
            </w:r>
            <w:r>
              <w:rPr>
                <w:rFonts w:hint="eastAsia"/>
                <w:color w:val="auto"/>
                <w:szCs w:val="21"/>
                <w:lang w:val="en-US" w:eastAsia="zh-CN"/>
              </w:rPr>
              <w:t>）</w:t>
            </w:r>
          </w:p>
          <w:p w14:paraId="26697600">
            <w:pPr>
              <w:adjustRightInd w:val="0"/>
              <w:snapToGrid w:val="0"/>
              <w:spacing w:line="276" w:lineRule="auto"/>
              <w:rPr>
                <w:rFonts w:hint="eastAsia" w:eastAsia="宋体"/>
                <w:color w:val="auto"/>
                <w:szCs w:val="21"/>
                <w:lang w:val="en-US" w:eastAsia="zh-CN"/>
              </w:rPr>
            </w:pP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课时581学时 </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课堂教学时量467学时，实践教学时量114学时</w:t>
            </w:r>
            <w:r>
              <w:rPr>
                <w:rFonts w:hint="eastAsia"/>
                <w:color w:val="000000" w:themeColor="text1"/>
                <w:szCs w:val="21"/>
                <w:lang w:eastAsia="zh-CN"/>
                <w14:textFill>
                  <w14:solidFill>
                    <w14:schemeClr w14:val="tx1"/>
                  </w14:solidFill>
                </w14:textFill>
              </w:rPr>
              <w:t>）</w:t>
            </w:r>
          </w:p>
          <w:p w14:paraId="6079B55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（5）2025年1月至2025年9月，课时350学时 （课堂教学时量314学时，实践教学时量36学时）</w:t>
            </w:r>
          </w:p>
        </w:tc>
        <w:tc>
          <w:tcPr>
            <w:tcW w:w="881"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646" w:type="dxa"/>
            <w:vMerge w:val="continue"/>
            <w:vAlign w:val="center"/>
          </w:tcPr>
          <w:p w14:paraId="5A9527B6">
            <w:pPr>
              <w:adjustRightInd w:val="0"/>
              <w:snapToGrid w:val="0"/>
              <w:spacing w:line="276" w:lineRule="auto"/>
              <w:jc w:val="center"/>
              <w:rPr>
                <w:b/>
                <w:szCs w:val="21"/>
              </w:rPr>
            </w:pPr>
          </w:p>
        </w:tc>
        <w:tc>
          <w:tcPr>
            <w:tcW w:w="1281"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737"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auto"/>
                <w:szCs w:val="21"/>
                <w:lang w:val="en-US" w:eastAsia="zh-CN"/>
              </w:rPr>
              <w:t>无</w:t>
            </w:r>
          </w:p>
        </w:tc>
        <w:tc>
          <w:tcPr>
            <w:tcW w:w="881"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646" w:type="dxa"/>
            <w:vMerge w:val="continue"/>
            <w:vAlign w:val="center"/>
          </w:tcPr>
          <w:p w14:paraId="38478A50">
            <w:pPr>
              <w:adjustRightInd w:val="0"/>
              <w:snapToGrid w:val="0"/>
              <w:spacing w:line="276" w:lineRule="auto"/>
              <w:jc w:val="center"/>
              <w:rPr>
                <w:b/>
                <w:szCs w:val="21"/>
              </w:rPr>
            </w:pPr>
          </w:p>
        </w:tc>
        <w:tc>
          <w:tcPr>
            <w:tcW w:w="1281"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737"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881"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3" w:hRule="atLeast"/>
        </w:trPr>
        <w:tc>
          <w:tcPr>
            <w:tcW w:w="646" w:type="dxa"/>
            <w:vMerge w:val="continue"/>
            <w:vAlign w:val="center"/>
          </w:tcPr>
          <w:p w14:paraId="67F9528C">
            <w:pPr>
              <w:adjustRightInd w:val="0"/>
              <w:snapToGrid w:val="0"/>
              <w:spacing w:line="276" w:lineRule="auto"/>
              <w:jc w:val="center"/>
              <w:rPr>
                <w:b/>
                <w:szCs w:val="21"/>
              </w:rPr>
            </w:pPr>
          </w:p>
        </w:tc>
        <w:tc>
          <w:tcPr>
            <w:tcW w:w="1281"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737"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39EA083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1565279A">
            <w:pPr>
              <w:adjustRightInd w:val="0"/>
              <w:snapToGrid w:val="0"/>
              <w:spacing w:line="276"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cs="宋体"/>
                <w:color w:val="000000" w:themeColor="text1"/>
                <w:sz w:val="21"/>
                <w:szCs w:val="21"/>
                <w:lang w:val="en-US" w:eastAsia="zh-CN"/>
                <w14:textFill>
                  <w14:solidFill>
                    <w14:schemeClr w14:val="tx1"/>
                  </w14:solidFill>
                </w14:textFill>
              </w:rPr>
              <w:t>2025年，</w:t>
            </w:r>
            <w:r>
              <w:rPr>
                <w:rFonts w:hint="eastAsia" w:ascii="宋体" w:hAnsi="宋体" w:cs="宋体"/>
                <w:color w:val="000000"/>
                <w:kern w:val="2"/>
                <w:sz w:val="21"/>
                <w:szCs w:val="21"/>
                <w:lang w:val="en-US" w:eastAsia="zh-CN" w:bidi="ar-SA"/>
              </w:rPr>
              <w:t>湖南省第二届职业技能大赛“机电一体化”铜牌（全省第三名，等同二等奖），湖南省</w:t>
            </w:r>
            <w:r>
              <w:rPr>
                <w:rFonts w:hint="eastAsia" w:ascii="宋体" w:hAnsi="宋体" w:eastAsia="宋体" w:cs="宋体"/>
                <w:color w:val="000000"/>
                <w:kern w:val="2"/>
                <w:sz w:val="21"/>
                <w:szCs w:val="21"/>
                <w:lang w:val="en-US" w:eastAsia="zh-CN" w:bidi="ar-SA"/>
              </w:rPr>
              <w:t>人力资源与社会保障局</w:t>
            </w:r>
            <w:r>
              <w:rPr>
                <w:rFonts w:hint="eastAsia" w:ascii="宋体" w:hAnsi="宋体" w:cs="宋体"/>
                <w:color w:val="000000"/>
                <w:kern w:val="2"/>
                <w:sz w:val="21"/>
                <w:szCs w:val="21"/>
                <w:lang w:val="en-US" w:eastAsia="zh-CN" w:bidi="ar-SA"/>
              </w:rPr>
              <w:t>，计25分</w:t>
            </w:r>
            <w:r>
              <w:rPr>
                <w:rFonts w:hint="eastAsia" w:ascii="宋体" w:hAnsi="宋体" w:eastAsia="宋体" w:cs="宋体"/>
                <w:color w:val="000000"/>
                <w:kern w:val="2"/>
                <w:sz w:val="21"/>
                <w:szCs w:val="21"/>
                <w:lang w:val="en-US" w:eastAsia="zh-CN" w:bidi="ar-SA"/>
              </w:rPr>
              <w:t>。</w:t>
            </w:r>
          </w:p>
          <w:p w14:paraId="364F8CDF">
            <w:pPr>
              <w:adjustRightInd w:val="0"/>
              <w:snapToGrid w:val="0"/>
              <w:spacing w:line="276"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2024年，《综合实训（机电）》获评为教育部工程研究中心高等院校数字化优质国际课程，计</w:t>
            </w:r>
            <w:r>
              <w:rPr>
                <w:rFonts w:hint="eastAsia" w:ascii="宋体" w:hAnsi="宋体" w:cs="宋体"/>
                <w:sz w:val="21"/>
                <w:szCs w:val="21"/>
                <w:lang w:val="en-US" w:eastAsia="zh-CN"/>
              </w:rPr>
              <w:t>50</w:t>
            </w:r>
            <w:r>
              <w:rPr>
                <w:rFonts w:hint="eastAsia" w:ascii="宋体" w:hAnsi="宋体" w:eastAsia="宋体" w:cs="宋体"/>
                <w:sz w:val="21"/>
                <w:szCs w:val="21"/>
                <w:lang w:val="en-US" w:eastAsia="zh-CN"/>
              </w:rPr>
              <w:t>分。</w:t>
            </w:r>
          </w:p>
          <w:p w14:paraId="4866565E">
            <w:pPr>
              <w:adjustRightInd w:val="0"/>
              <w:snapToGrid w:val="0"/>
              <w:spacing w:line="276" w:lineRule="auto"/>
              <w:rPr>
                <w:rFonts w:hint="default" w:ascii="宋体" w:hAnsi="宋体" w:cs="宋体"/>
                <w:sz w:val="21"/>
                <w:szCs w:val="21"/>
                <w:lang w:val="en-US" w:eastAsia="zh-CN"/>
              </w:rPr>
            </w:pPr>
            <w:r>
              <w:rPr>
                <w:rFonts w:hint="eastAsia" w:ascii="宋体" w:hAnsi="宋体" w:cs="宋体"/>
                <w:sz w:val="21"/>
                <w:szCs w:val="21"/>
                <w:lang w:val="en-US" w:eastAsia="zh-CN"/>
              </w:rPr>
              <w:t>（2）2</w:t>
            </w:r>
            <w:r>
              <w:rPr>
                <w:rFonts w:hint="eastAsia" w:ascii="宋体" w:hAnsi="宋体" w:cs="宋体"/>
                <w:color w:val="000000"/>
                <w:kern w:val="2"/>
                <w:sz w:val="21"/>
                <w:szCs w:val="21"/>
                <w:lang w:val="en-US" w:eastAsia="zh-CN" w:bidi="ar-SA"/>
              </w:rPr>
              <w:t>023年，</w:t>
            </w:r>
            <w:r>
              <w:rPr>
                <w:rFonts w:hint="eastAsia" w:ascii="宋体" w:hAnsi="宋体" w:eastAsia="宋体" w:cs="宋体"/>
                <w:color w:val="000000"/>
                <w:kern w:val="2"/>
                <w:sz w:val="21"/>
                <w:szCs w:val="21"/>
                <w:lang w:val="en-US" w:eastAsia="zh-CN" w:bidi="ar-SA"/>
              </w:rPr>
              <w:t>长沙市第二届职业技能大赛“无人机装调检修”金奖</w:t>
            </w:r>
            <w:r>
              <w:rPr>
                <w:rFonts w:hint="eastAsia" w:ascii="宋体" w:hAnsi="宋体" w:cs="宋体"/>
                <w:color w:val="000000"/>
                <w:kern w:val="2"/>
                <w:sz w:val="21"/>
                <w:szCs w:val="21"/>
                <w:lang w:val="en-US" w:eastAsia="zh-CN" w:bidi="ar-SA"/>
              </w:rPr>
              <w:t>（第一名，等同一等奖）</w:t>
            </w:r>
            <w:r>
              <w:rPr>
                <w:rFonts w:hint="eastAsia" w:ascii="宋体" w:hAnsi="宋体" w:eastAsia="宋体" w:cs="宋体"/>
                <w:color w:val="000000"/>
                <w:kern w:val="2"/>
                <w:sz w:val="21"/>
                <w:szCs w:val="21"/>
                <w:lang w:val="en-US" w:eastAsia="zh-CN" w:bidi="ar-SA"/>
              </w:rPr>
              <w:t>，长沙市人力资源与社会保障局</w:t>
            </w:r>
            <w:r>
              <w:rPr>
                <w:rFonts w:hint="eastAsia" w:ascii="宋体" w:hAnsi="宋体" w:cs="宋体"/>
                <w:color w:val="000000"/>
                <w:kern w:val="2"/>
                <w:sz w:val="21"/>
                <w:szCs w:val="21"/>
                <w:lang w:val="en-US" w:eastAsia="zh-CN" w:bidi="ar-SA"/>
              </w:rPr>
              <w:t>，计10分</w:t>
            </w:r>
            <w:r>
              <w:rPr>
                <w:rFonts w:hint="eastAsia" w:ascii="宋体" w:hAnsi="宋体" w:eastAsia="宋体" w:cs="宋体"/>
                <w:color w:val="000000"/>
                <w:kern w:val="2"/>
                <w:sz w:val="21"/>
                <w:szCs w:val="21"/>
                <w:lang w:val="en-US" w:eastAsia="zh-CN" w:bidi="ar-SA"/>
              </w:rPr>
              <w:t>。</w:t>
            </w:r>
          </w:p>
          <w:p w14:paraId="27E20255">
            <w:pPr>
              <w:adjustRightInd w:val="0"/>
              <w:snapToGrid w:val="0"/>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r>
              <w:rPr>
                <w:rFonts w:hint="eastAsia" w:ascii="宋体" w:hAnsi="宋体" w:eastAsia="宋体" w:cs="宋体"/>
                <w:color w:val="000000" w:themeColor="text1"/>
                <w:sz w:val="21"/>
                <w:szCs w:val="21"/>
                <w:lang w:val="en-US" w:eastAsia="zh-CN"/>
                <w14:textFill>
                  <w14:solidFill>
                    <w14:schemeClr w14:val="tx1"/>
                  </w14:solidFill>
                </w14:textFill>
              </w:rPr>
              <w:t>2022年，教育部</w:t>
            </w:r>
            <w:r>
              <w:rPr>
                <w:rFonts w:hint="eastAsia" w:ascii="宋体" w:hAnsi="宋体" w:eastAsia="宋体" w:cs="宋体"/>
                <w:kern w:val="2"/>
                <w:sz w:val="21"/>
                <w:szCs w:val="21"/>
                <w:lang w:val="en-US" w:eastAsia="zh-CN" w:bidi="ar-SA"/>
              </w:rPr>
              <w:t>第三届全国金工与工训青年教师微课教学竞赛，特优奖，个人赛，计10分。</w:t>
            </w:r>
          </w:p>
          <w:p w14:paraId="7A85801A">
            <w:pPr>
              <w:adjustRightInd w:val="0"/>
              <w:snapToGrid w:val="0"/>
              <w:spacing w:line="276" w:lineRule="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kern w:val="2"/>
                <w:sz w:val="21"/>
                <w:szCs w:val="21"/>
                <w:lang w:val="en-US" w:eastAsia="zh-CN" w:bidi="ar-SA"/>
              </w:rPr>
              <w:t>2022年，湖南大学新进教师入职培训微格演练</w:t>
            </w:r>
            <w:r>
              <w:rPr>
                <w:rFonts w:hint="eastAsia" w:ascii="宋体" w:hAnsi="宋体" w:cs="宋体"/>
                <w:kern w:val="2"/>
                <w:sz w:val="21"/>
                <w:szCs w:val="21"/>
                <w:lang w:val="en-US" w:eastAsia="zh-CN" w:bidi="ar-SA"/>
              </w:rPr>
              <w:t>赛</w:t>
            </w:r>
            <w:r>
              <w:rPr>
                <w:rFonts w:hint="eastAsia" w:ascii="宋体" w:hAnsi="宋体" w:eastAsia="宋体" w:cs="宋体"/>
                <w:kern w:val="2"/>
                <w:sz w:val="21"/>
                <w:szCs w:val="21"/>
                <w:lang w:val="en-US" w:eastAsia="zh-CN" w:bidi="ar-SA"/>
              </w:rPr>
              <w:t>，一等奖，个人赛，计10分。</w:t>
            </w:r>
          </w:p>
          <w:p w14:paraId="15C4673A">
            <w:pPr>
              <w:adjustRightInd w:val="0"/>
              <w:snapToGrid w:val="0"/>
              <w:spacing w:line="276"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）2025年，湖南开放大学2025开放教育质量管理优秀案例，二等奖，计3分。</w:t>
            </w:r>
          </w:p>
          <w:p w14:paraId="0BD93483">
            <w:pPr>
              <w:adjustRightInd w:val="0"/>
              <w:snapToGrid w:val="0"/>
              <w:spacing w:line="276"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2025年，湖南开放大学理工科类专业课程思政教学设计方案大赛，二等奖，计</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分。</w:t>
            </w:r>
          </w:p>
          <w:p w14:paraId="61958DFA">
            <w:pPr>
              <w:adjustRightInd w:val="0"/>
              <w:snapToGrid w:val="0"/>
              <w:spacing w:line="276"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）2025年，湖南开放大学理工科类专业课程思政教学设计方案大赛，三等奖，计</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14:paraId="2851D6DB">
            <w:pPr>
              <w:adjustRightInd w:val="0"/>
              <w:snapToGrid w:val="0"/>
              <w:spacing w:line="276" w:lineRule="auto"/>
              <w:rPr>
                <w:rFonts w:hint="default" w:ascii="宋体" w:hAnsi="宋体" w:cs="Times New Roman"/>
                <w:sz w:val="22"/>
                <w:szCs w:val="28"/>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）2025年，湖南开放大学办学体系实践教学方案设计、说课与案例展示大赛，二等奖，计</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分。</w:t>
            </w:r>
          </w:p>
        </w:tc>
        <w:tc>
          <w:tcPr>
            <w:tcW w:w="881"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116</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69</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trPr>
        <w:tc>
          <w:tcPr>
            <w:tcW w:w="646" w:type="dxa"/>
            <w:vMerge w:val="continue"/>
            <w:vAlign w:val="center"/>
          </w:tcPr>
          <w:p w14:paraId="79C1D311">
            <w:pPr>
              <w:adjustRightInd w:val="0"/>
              <w:snapToGrid w:val="0"/>
              <w:spacing w:line="276" w:lineRule="auto"/>
              <w:jc w:val="center"/>
              <w:rPr>
                <w:b/>
                <w:szCs w:val="21"/>
              </w:rPr>
            </w:pPr>
          </w:p>
        </w:tc>
        <w:tc>
          <w:tcPr>
            <w:tcW w:w="1281"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737"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2BECF88">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团队立项</w:t>
            </w:r>
            <w:r>
              <w:rPr>
                <w:rFonts w:hint="eastAsia"/>
                <w:color w:val="000000" w:themeColor="text1"/>
                <w:szCs w:val="21"/>
                <w14:textFill>
                  <w14:solidFill>
                    <w14:schemeClr w14:val="tx1"/>
                  </w14:solidFill>
                </w14:textFill>
              </w:rPr>
              <w:t>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3E78E5AA">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（1）湖南开放大学创新团队</w:t>
            </w:r>
            <w:r>
              <w:rPr>
                <w:rFonts w:hint="eastAsia" w:ascii="Times New Roman" w:hAnsi="Times New Roman" w:eastAsia="宋体" w:cs="Times New Roman"/>
                <w:color w:val="000000" w:themeColor="text1"/>
                <w:szCs w:val="21"/>
                <w:lang w:val="en-US" w:eastAsia="zh-CN"/>
                <w14:textFill>
                  <w14:solidFill>
                    <w14:schemeClr w14:val="tx1"/>
                  </w14:solidFill>
                </w14:textFill>
              </w:rPr>
              <w:t>，数字化设计与制</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造，第5，计1.2分</w:t>
            </w:r>
          </w:p>
        </w:tc>
        <w:tc>
          <w:tcPr>
            <w:tcW w:w="881"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1.2</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825F2D6">
            <w:pPr>
              <w:adjustRightInd w:val="0"/>
              <w:snapToGrid w:val="0"/>
              <w:spacing w:line="276" w:lineRule="auto"/>
              <w:jc w:val="center"/>
              <w:rPr>
                <w:b/>
                <w:szCs w:val="21"/>
              </w:rPr>
            </w:pPr>
          </w:p>
        </w:tc>
        <w:tc>
          <w:tcPr>
            <w:tcW w:w="1281"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737"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5B49187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（1）2023年，国家开放大学，国家开放大学产教融合协同育人中心建设试点项目，2023CY2711，第3，计12分</w:t>
            </w:r>
          </w:p>
          <w:p w14:paraId="771A3A2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（2）2025年，长沙市科技局，长沙市技术创新中心——长沙市高端装备关键零部件智能制造技术创新中心，第4，计8分</w:t>
            </w:r>
          </w:p>
          <w:p w14:paraId="7873860D">
            <w:pPr>
              <w:adjustRightInd w:val="0"/>
              <w:snapToGrid w:val="0"/>
              <w:spacing w:line="276" w:lineRule="auto"/>
              <w:rPr>
                <w:rFonts w:hint="default"/>
                <w:b w:val="0"/>
                <w:bCs w:val="0"/>
                <w:color w:val="auto"/>
                <w:highlight w:val="cyan"/>
                <w:vertAlign w:val="baseline"/>
                <w:lang w:val="en-US" w:eastAsia="zh-CN"/>
              </w:rPr>
            </w:pPr>
            <w:r>
              <w:rPr>
                <w:rFonts w:hint="eastAsia"/>
                <w:b w:val="0"/>
                <w:bCs w:val="0"/>
                <w:color w:val="auto"/>
                <w:vertAlign w:val="baseline"/>
                <w:lang w:val="en-US" w:eastAsia="zh-CN"/>
              </w:rPr>
              <w:t>（3）2021-2023，工业互联网创新型综合实践基地建设，获“中国高等教育学会‘校企合作 双百计划’典型案例”，第3，计15分</w:t>
            </w:r>
          </w:p>
        </w:tc>
        <w:tc>
          <w:tcPr>
            <w:tcW w:w="881"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35</w:t>
            </w:r>
          </w:p>
        </w:tc>
        <w:tc>
          <w:tcPr>
            <w:tcW w:w="1274" w:type="dxa"/>
            <w:vAlign w:val="center"/>
          </w:tcPr>
          <w:p w14:paraId="4604FE0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trPr>
        <w:tc>
          <w:tcPr>
            <w:tcW w:w="646" w:type="dxa"/>
            <w:vMerge w:val="continue"/>
            <w:vAlign w:val="center"/>
          </w:tcPr>
          <w:p w14:paraId="05A28A00">
            <w:pPr>
              <w:adjustRightInd w:val="0"/>
              <w:snapToGrid w:val="0"/>
              <w:spacing w:line="276" w:lineRule="auto"/>
              <w:jc w:val="center"/>
              <w:rPr>
                <w:b/>
                <w:szCs w:val="21"/>
              </w:rPr>
            </w:pPr>
          </w:p>
        </w:tc>
        <w:tc>
          <w:tcPr>
            <w:tcW w:w="1281"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737"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4FC1C855">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课程</w:t>
            </w:r>
            <w:r>
              <w:rPr>
                <w:rFonts w:hint="eastAsia"/>
                <w:color w:val="000000" w:themeColor="text1"/>
                <w:szCs w:val="21"/>
                <w14:textFill>
                  <w14:solidFill>
                    <w14:schemeClr w14:val="tx1"/>
                  </w14:solidFill>
                </w14:textFill>
              </w:rPr>
              <w:t>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1085581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（1）立项建设湖南开放大学校级课程《电子装调实训》，主持，建设中，计9分</w:t>
            </w:r>
          </w:p>
          <w:p w14:paraId="45E7D3E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（2）湖南大学《走进工业互联网》课程建设，主持，已完成并正式运行，计15分</w:t>
            </w:r>
          </w:p>
        </w:tc>
        <w:tc>
          <w:tcPr>
            <w:tcW w:w="881"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46" w:type="dxa"/>
            <w:vMerge w:val="continue"/>
            <w:vAlign w:val="center"/>
          </w:tcPr>
          <w:p w14:paraId="034B747F">
            <w:pPr>
              <w:adjustRightInd w:val="0"/>
              <w:snapToGrid w:val="0"/>
              <w:spacing w:line="276" w:lineRule="auto"/>
              <w:jc w:val="center"/>
              <w:rPr>
                <w:b/>
                <w:szCs w:val="21"/>
              </w:rPr>
            </w:pPr>
          </w:p>
        </w:tc>
        <w:tc>
          <w:tcPr>
            <w:tcW w:w="1281"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737"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1F1FE39B">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881" w:type="dxa"/>
            <w:vAlign w:val="center"/>
          </w:tcPr>
          <w:p w14:paraId="2AD8D4CD">
            <w:pPr>
              <w:adjustRightInd w:val="0"/>
              <w:snapToGrid w:val="0"/>
              <w:spacing w:line="276" w:lineRule="auto"/>
              <w:jc w:val="center"/>
              <w:rPr>
                <w:rFonts w:hint="eastAsia" w:eastAsia="宋体"/>
                <w:szCs w:val="21"/>
                <w:lang w:val="en-US" w:eastAsia="zh-CN"/>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646" w:type="dxa"/>
            <w:vMerge w:val="continue"/>
            <w:vAlign w:val="center"/>
          </w:tcPr>
          <w:p w14:paraId="1D7B3AD2">
            <w:pPr>
              <w:adjustRightInd w:val="0"/>
              <w:snapToGrid w:val="0"/>
              <w:spacing w:line="276" w:lineRule="auto"/>
              <w:jc w:val="center"/>
              <w:rPr>
                <w:b/>
                <w:szCs w:val="21"/>
              </w:rPr>
            </w:pPr>
          </w:p>
        </w:tc>
        <w:tc>
          <w:tcPr>
            <w:tcW w:w="1281"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737"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年份+新申报</w:t>
            </w:r>
            <w:r>
              <w:rPr>
                <w:rFonts w:hint="eastAsia"/>
                <w:color w:val="000000" w:themeColor="text1"/>
                <w:szCs w:val="21"/>
                <w:lang w:val="en-US" w:eastAsia="zh-CN"/>
                <w14:textFill>
                  <w14:solidFill>
                    <w14:schemeClr w14:val="tx1"/>
                  </w14:solidFill>
                </w14:textFill>
              </w:rPr>
              <w:t>专业名称+</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5FB4AD2A">
            <w:pPr>
              <w:adjustRightInd w:val="0"/>
              <w:snapToGrid w:val="0"/>
              <w:spacing w:line="276" w:lineRule="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（1）2024年，智能制造工程，成人教育本科，主持，计7.5分</w:t>
            </w:r>
          </w:p>
          <w:p w14:paraId="1B87C316">
            <w:pPr>
              <w:adjustRightInd w:val="0"/>
              <w:snapToGrid w:val="0"/>
              <w:spacing w:line="276" w:lineRule="auto"/>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（2）2025年，楚怡工匠计划智能制造工程职业本科，主持，计15分。</w:t>
            </w:r>
          </w:p>
          <w:p w14:paraId="0A3C2121">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Theme="majorEastAsia" w:hAnsiTheme="majorEastAsia" w:eastAsiaTheme="majorEastAsia" w:cstheme="majorEastAsia"/>
                <w:sz w:val="21"/>
                <w:szCs w:val="21"/>
                <w:lang w:val="en-US" w:eastAsia="zh-CN"/>
              </w:rPr>
              <w:t>（2）2023年，机电一体化专业，湖南省教育厅高职高专院校专业优秀人才培养方案现场考察“优秀”，第3，计4分</w:t>
            </w:r>
          </w:p>
        </w:tc>
        <w:tc>
          <w:tcPr>
            <w:tcW w:w="881"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26.5</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26.5</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281"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737"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881"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281"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737"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1B9173A5">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281"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737"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年月+</w:t>
            </w:r>
            <w:r>
              <w:rPr>
                <w:rFonts w:hint="eastAsia"/>
                <w:color w:val="000000" w:themeColor="text1"/>
                <w:szCs w:val="21"/>
                <w14:textFill>
                  <w14:solidFill>
                    <w14:schemeClr w14:val="tx1"/>
                  </w14:solidFill>
                </w14:textFill>
              </w:rPr>
              <w:t>任教研室、实验室主任</w:t>
            </w:r>
            <w:r>
              <w:rPr>
                <w:rFonts w:hint="eastAsia"/>
                <w:color w:val="000000" w:themeColor="text1"/>
                <w:szCs w:val="21"/>
                <w:lang w:val="en-US" w:eastAsia="zh-CN"/>
                <w14:textFill>
                  <w14:solidFill>
                    <w14:schemeClr w14:val="tx1"/>
                  </w14:solidFill>
                </w14:textFill>
              </w:rPr>
              <w:t>情况+计分</w:t>
            </w:r>
            <w:r>
              <w:rPr>
                <w:rFonts w:hint="eastAsia"/>
                <w:color w:val="000000" w:themeColor="text1"/>
                <w:szCs w:val="21"/>
                <w14:textFill>
                  <w14:solidFill>
                    <w14:schemeClr w14:val="tx1"/>
                  </w14:solidFill>
                </w14:textFill>
              </w:rPr>
              <w:t>。</w:t>
            </w:r>
          </w:p>
          <w:p w14:paraId="48E9FD46">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281"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737"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2ED79E7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1C18E46">
            <w:pPr>
              <w:adjustRightInd w:val="0"/>
              <w:snapToGrid w:val="0"/>
              <w:spacing w:line="276" w:lineRule="auto"/>
              <w:jc w:val="center"/>
              <w:rPr>
                <w:b/>
                <w:szCs w:val="21"/>
              </w:rPr>
            </w:pPr>
          </w:p>
        </w:tc>
        <w:tc>
          <w:tcPr>
            <w:tcW w:w="1281"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737"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703E034C">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6" w:hRule="atLeast"/>
        </w:trPr>
        <w:tc>
          <w:tcPr>
            <w:tcW w:w="646" w:type="dxa"/>
            <w:vMerge w:val="continue"/>
            <w:vAlign w:val="center"/>
          </w:tcPr>
          <w:p w14:paraId="4F1D0953">
            <w:pPr>
              <w:adjustRightInd w:val="0"/>
              <w:snapToGrid w:val="0"/>
              <w:spacing w:line="276" w:lineRule="auto"/>
              <w:jc w:val="center"/>
              <w:rPr>
                <w:b/>
                <w:szCs w:val="21"/>
              </w:rPr>
            </w:pPr>
          </w:p>
        </w:tc>
        <w:tc>
          <w:tcPr>
            <w:tcW w:w="1281"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737"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57F1CC6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7320942E">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2023</w:t>
            </w:r>
            <w:r>
              <w:rPr>
                <w:rFonts w:hint="eastAsia"/>
                <w:color w:val="000000" w:themeColor="text1"/>
                <w:szCs w:val="21"/>
                <w14:textFill>
                  <w14:solidFill>
                    <w14:schemeClr w14:val="tx1"/>
                  </w14:solidFill>
                </w14:textFill>
              </w:rPr>
              <w:t>年6月，国家大学生数学建模比赛三等奖，XX学生，</w:t>
            </w:r>
            <w:r>
              <w:rPr>
                <w:rFonts w:hint="eastAsia"/>
                <w:color w:val="000000" w:themeColor="text1"/>
                <w:szCs w:val="21"/>
                <w:lang w:val="en-US" w:eastAsia="zh-CN"/>
                <w14:textFill>
                  <w14:solidFill>
                    <w14:schemeClr w14:val="tx1"/>
                  </w14:solidFill>
                </w14:textFill>
              </w:rPr>
              <w:t>教育部</w:t>
            </w:r>
            <w:r>
              <w:rPr>
                <w:rFonts w:hint="eastAsia"/>
                <w:color w:val="000000" w:themeColor="text1"/>
                <w:szCs w:val="21"/>
                <w14:textFill>
                  <w14:solidFill>
                    <w14:schemeClr w14:val="tx1"/>
                  </w14:solidFill>
                </w14:textFill>
              </w:rPr>
              <w:t>，第一指导教师，计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6B8CD7F1">
            <w:pPr>
              <w:adjustRightInd w:val="0"/>
              <w:snapToGrid w:val="0"/>
              <w:spacing w:line="276" w:lineRule="auto"/>
              <w:rPr>
                <w:rFonts w:hint="eastAsia"/>
                <w:color w:val="000000" w:themeColor="text1"/>
                <w:szCs w:val="21"/>
                <w14:textFill>
                  <w14:solidFill>
                    <w14:schemeClr w14:val="tx1"/>
                  </w14:solidFill>
                </w14:textFill>
              </w:rPr>
            </w:pPr>
          </w:p>
          <w:p w14:paraId="2792E721">
            <w:pPr>
              <w:adjustRightInd w:val="0"/>
              <w:snapToGrid w:val="0"/>
              <w:spacing w:line="276" w:lineRule="auto"/>
              <w:rPr>
                <w:rFonts w:hint="default" w:ascii="宋体" w:hAnsi="宋体" w:cs="宋体"/>
                <w:sz w:val="21"/>
                <w:szCs w:val="21"/>
                <w:lang w:val="en-US" w:eastAsia="zh-CN"/>
              </w:rPr>
            </w:pPr>
            <w:r>
              <w:rPr>
                <w:rFonts w:hint="eastAsia" w:ascii="宋体" w:hAnsi="宋体" w:cs="宋体"/>
                <w:sz w:val="21"/>
                <w:szCs w:val="21"/>
                <w:lang w:val="en-US" w:eastAsia="zh-CN"/>
              </w:rPr>
              <w:t>（1）2025年3月，</w:t>
            </w:r>
            <w:r>
              <w:rPr>
                <w:rFonts w:hint="eastAsia" w:ascii="宋体" w:hAnsi="宋体" w:eastAsia="宋体" w:cs="宋体"/>
                <w:sz w:val="21"/>
                <w:szCs w:val="21"/>
                <w:lang w:val="en-US" w:eastAsia="zh-CN"/>
              </w:rPr>
              <w:t>湖南省职业院校技能大赛生产单元数字化改造赛项三等奖，胡博政、彭友、唐湘华，湖南省教育厅，第二指导老师，计1分。</w:t>
            </w:r>
          </w:p>
          <w:p w14:paraId="32B1FF19">
            <w:pPr>
              <w:adjustRightInd w:val="0"/>
              <w:snapToGrid w:val="0"/>
              <w:spacing w:line="276" w:lineRule="auto"/>
              <w:rPr>
                <w:rFonts w:hint="default" w:ascii="宋体" w:hAnsi="宋体" w:cs="宋体"/>
                <w:sz w:val="21"/>
                <w:szCs w:val="21"/>
                <w:lang w:val="en-US" w:eastAsia="zh-CN"/>
              </w:rPr>
            </w:pPr>
            <w:r>
              <w:rPr>
                <w:rFonts w:hint="eastAsia" w:ascii="宋体" w:hAnsi="宋体" w:cs="宋体"/>
                <w:sz w:val="21"/>
                <w:szCs w:val="21"/>
                <w:lang w:val="en-US" w:eastAsia="zh-CN"/>
              </w:rPr>
              <w:t>（2）2025年3月，</w:t>
            </w:r>
            <w:r>
              <w:rPr>
                <w:rFonts w:hint="eastAsia" w:ascii="宋体" w:hAnsi="宋体" w:eastAsia="宋体" w:cs="宋体"/>
                <w:sz w:val="21"/>
                <w:szCs w:val="21"/>
                <w:lang w:val="en-US" w:eastAsia="zh-CN"/>
              </w:rPr>
              <w:t>湖南省职业院校技能大赛生产单元数字化改造赛项三等奖，杨标、李凯、肖杰，湖南省教育厅，第二指导老师，计1分。</w:t>
            </w:r>
          </w:p>
          <w:p w14:paraId="01C37E2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2023年</w:t>
            </w:r>
            <w:r>
              <w:rPr>
                <w:rFonts w:hint="eastAsia" w:ascii="宋体" w:hAnsi="宋体" w:cs="宋体"/>
                <w:sz w:val="21"/>
                <w:szCs w:val="21"/>
                <w:lang w:val="en-US" w:eastAsia="zh-CN"/>
              </w:rPr>
              <w:t>7月</w:t>
            </w:r>
            <w:r>
              <w:rPr>
                <w:rFonts w:hint="eastAsia" w:ascii="宋体" w:hAnsi="宋体" w:eastAsia="宋体" w:cs="宋体"/>
                <w:sz w:val="21"/>
                <w:szCs w:val="21"/>
                <w:lang w:val="en-US" w:eastAsia="zh-CN"/>
              </w:rPr>
              <w:t>，教育部2023年第十七届“西门子杯”中国智能制造挑战赛华中赛区智能制造工程设计与应用类赛项本科组一等奖，中国智能制造挑战赛全国竞赛组委会</w:t>
            </w:r>
            <w:r>
              <w:rPr>
                <w:rFonts w:hint="eastAsia" w:ascii="宋体" w:hAnsi="宋体" w:cs="宋体"/>
                <w:sz w:val="21"/>
                <w:szCs w:val="21"/>
                <w:lang w:val="en-US" w:eastAsia="zh-CN"/>
              </w:rPr>
              <w:t>，</w:t>
            </w:r>
            <w:r>
              <w:rPr>
                <w:rFonts w:hint="eastAsia"/>
                <w:color w:val="000000" w:themeColor="text1"/>
                <w:szCs w:val="21"/>
                <w14:textFill>
                  <w14:solidFill>
                    <w14:schemeClr w14:val="tx1"/>
                  </w14:solidFill>
                </w14:textFill>
              </w:rPr>
              <w:t>第一指导教师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计25分。</w:t>
            </w:r>
          </w:p>
          <w:p w14:paraId="4BF6449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w:t>
            </w:r>
            <w:r>
              <w:rPr>
                <w:rFonts w:hint="eastAsia" w:ascii="宋体" w:hAnsi="宋体" w:eastAsia="宋体" w:cs="宋体"/>
                <w:sz w:val="21"/>
                <w:szCs w:val="21"/>
                <w:lang w:val="en-US" w:eastAsia="zh-CN"/>
              </w:rPr>
              <w:t>2023年</w:t>
            </w:r>
            <w:r>
              <w:rPr>
                <w:rFonts w:hint="eastAsia" w:ascii="宋体" w:hAnsi="宋体" w:cs="宋体"/>
                <w:sz w:val="21"/>
                <w:szCs w:val="21"/>
                <w:lang w:val="en-US" w:eastAsia="zh-CN"/>
              </w:rPr>
              <w:t>7月</w:t>
            </w:r>
            <w:r>
              <w:rPr>
                <w:rFonts w:hint="eastAsia" w:ascii="宋体" w:hAnsi="宋体" w:eastAsia="宋体" w:cs="宋体"/>
                <w:sz w:val="21"/>
                <w:szCs w:val="21"/>
                <w:lang w:val="en-US" w:eastAsia="zh-CN"/>
              </w:rPr>
              <w:t>，中国高校计算机大赛网络技术挑战赛华中赛区三等奖，潘康明</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陶荟铃</w:t>
            </w:r>
            <w:r>
              <w:rPr>
                <w:rFonts w:hint="eastAsia" w:ascii="宋体" w:hAnsi="宋体" w:cs="宋体"/>
                <w:sz w:val="21"/>
                <w:szCs w:val="21"/>
                <w:lang w:val="en-US" w:eastAsia="zh-CN"/>
              </w:rPr>
              <w:t>、高悦、</w:t>
            </w:r>
            <w:r>
              <w:rPr>
                <w:rFonts w:hint="eastAsia" w:ascii="宋体" w:hAnsi="宋体" w:eastAsia="宋体" w:cs="宋体"/>
                <w:sz w:val="21"/>
                <w:szCs w:val="21"/>
                <w:lang w:val="en-US" w:eastAsia="zh-CN"/>
              </w:rPr>
              <w:t>丁宇琦</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全国高等学校计算机教育研究会，</w:t>
            </w:r>
            <w:r>
              <w:rPr>
                <w:rFonts w:hint="eastAsia"/>
                <w:color w:val="000000" w:themeColor="text1"/>
                <w:szCs w:val="21"/>
                <w14:textFill>
                  <w14:solidFill>
                    <w14:schemeClr w14:val="tx1"/>
                  </w14:solidFill>
                </w14:textFill>
              </w:rPr>
              <w:t>第一指导教师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42BE41FC">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r>
              <w:rPr>
                <w:rFonts w:hint="eastAsia" w:ascii="宋体" w:hAnsi="宋体" w:eastAsia="宋体" w:cs="宋体"/>
                <w:sz w:val="21"/>
                <w:szCs w:val="21"/>
                <w:lang w:val="en-US" w:eastAsia="zh-CN"/>
              </w:rPr>
              <w:t>2023年</w:t>
            </w:r>
            <w:r>
              <w:rPr>
                <w:rFonts w:hint="eastAsia" w:ascii="宋体" w:hAnsi="宋体" w:cs="宋体"/>
                <w:sz w:val="21"/>
                <w:szCs w:val="21"/>
                <w:lang w:val="en-US" w:eastAsia="zh-CN"/>
              </w:rPr>
              <w:t>7月</w:t>
            </w:r>
            <w:r>
              <w:rPr>
                <w:rFonts w:hint="eastAsia" w:ascii="宋体" w:hAnsi="宋体" w:eastAsia="宋体" w:cs="宋体"/>
                <w:sz w:val="21"/>
                <w:szCs w:val="21"/>
                <w:lang w:val="en-US" w:eastAsia="zh-CN"/>
              </w:rPr>
              <w:t>，中国高校计算机大赛网络技术挑战赛华中赛区三等奖，</w:t>
            </w:r>
            <w:r>
              <w:rPr>
                <w:rFonts w:hint="eastAsia"/>
                <w:color w:val="000000" w:themeColor="text1"/>
                <w:szCs w:val="21"/>
                <w:lang w:val="en-US" w:eastAsia="zh-CN"/>
                <w14:textFill>
                  <w14:solidFill>
                    <w14:schemeClr w14:val="tx1"/>
                  </w14:solidFill>
                </w14:textFill>
              </w:rPr>
              <w:t>林家福、李卓、樊诗刚</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全国高等学校计算机教育研究会，</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计1分</w:t>
            </w:r>
          </w:p>
        </w:tc>
        <w:tc>
          <w:tcPr>
            <w:tcW w:w="881"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33</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6" w:type="dxa"/>
            <w:vMerge w:val="continue"/>
            <w:vAlign w:val="center"/>
          </w:tcPr>
          <w:p w14:paraId="0CD18C73">
            <w:pPr>
              <w:adjustRightInd w:val="0"/>
              <w:snapToGrid w:val="0"/>
              <w:spacing w:line="276" w:lineRule="auto"/>
              <w:jc w:val="center"/>
              <w:rPr>
                <w:b/>
                <w:szCs w:val="21"/>
              </w:rPr>
            </w:pPr>
          </w:p>
        </w:tc>
        <w:tc>
          <w:tcPr>
            <w:tcW w:w="1281" w:type="dxa"/>
            <w:vMerge w:val="continue"/>
            <w:vAlign w:val="center"/>
          </w:tcPr>
          <w:p w14:paraId="0EC9BFDA">
            <w:pPr>
              <w:adjustRightInd w:val="0"/>
              <w:snapToGrid w:val="0"/>
              <w:spacing w:line="276" w:lineRule="auto"/>
              <w:jc w:val="center"/>
              <w:rPr>
                <w:szCs w:val="21"/>
              </w:rPr>
            </w:pPr>
          </w:p>
        </w:tc>
        <w:tc>
          <w:tcPr>
            <w:tcW w:w="14737"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1549D12A">
            <w:pPr>
              <w:adjustRightInd w:val="0"/>
              <w:snapToGrid w:val="0"/>
              <w:spacing w:line="276" w:lineRule="auto"/>
              <w:rPr>
                <w:rFonts w:hint="eastAsia"/>
                <w:b w:val="0"/>
                <w:bCs w:val="0"/>
                <w:color w:val="auto"/>
                <w:vertAlign w:val="baseline"/>
                <w:lang w:val="en-US" w:eastAsia="zh-CN"/>
              </w:rPr>
            </w:pPr>
            <w:r>
              <w:rPr>
                <w:rFonts w:hint="eastAsia"/>
                <w:color w:val="000000" w:themeColor="text1"/>
                <w:szCs w:val="21"/>
                <w:highlight w:val="none"/>
                <w:lang w:val="en-US" w:eastAsia="zh-CN"/>
                <w14:textFill>
                  <w14:solidFill>
                    <w14:schemeClr w14:val="tx1"/>
                  </w14:solidFill>
                </w14:textFill>
              </w:rPr>
              <w:t>无</w:t>
            </w:r>
          </w:p>
        </w:tc>
        <w:tc>
          <w:tcPr>
            <w:tcW w:w="881"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646" w:type="dxa"/>
            <w:vMerge w:val="continue"/>
            <w:vAlign w:val="center"/>
          </w:tcPr>
          <w:p w14:paraId="52771B0F">
            <w:pPr>
              <w:adjustRightInd w:val="0"/>
              <w:snapToGrid w:val="0"/>
              <w:spacing w:line="276" w:lineRule="auto"/>
              <w:jc w:val="center"/>
              <w:rPr>
                <w:b/>
                <w:szCs w:val="21"/>
              </w:rPr>
            </w:pPr>
          </w:p>
        </w:tc>
        <w:tc>
          <w:tcPr>
            <w:tcW w:w="1281" w:type="dxa"/>
            <w:vMerge w:val="continue"/>
            <w:vAlign w:val="center"/>
          </w:tcPr>
          <w:p w14:paraId="2E2EFC13">
            <w:pPr>
              <w:adjustRightInd w:val="0"/>
              <w:snapToGrid w:val="0"/>
              <w:spacing w:line="276" w:lineRule="auto"/>
              <w:jc w:val="center"/>
              <w:rPr>
                <w:rFonts w:hint="eastAsia"/>
                <w:szCs w:val="21"/>
              </w:rPr>
            </w:pPr>
          </w:p>
        </w:tc>
        <w:tc>
          <w:tcPr>
            <w:tcW w:w="14737"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340FE7D">
            <w:p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eastAsia="宋体"/>
                <w:color w:val="000000" w:themeColor="text1"/>
                <w:szCs w:val="21"/>
                <w:highlight w:val="none"/>
                <w:lang w:val="en-US" w:eastAsia="zh-CN"/>
                <w14:textFill>
                  <w14:solidFill>
                    <w14:schemeClr w14:val="tx1"/>
                  </w14:solidFill>
                </w14:textFill>
              </w:rPr>
              <w:t>无</w:t>
            </w:r>
          </w:p>
        </w:tc>
        <w:tc>
          <w:tcPr>
            <w:tcW w:w="881"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646" w:type="dxa"/>
            <w:vMerge w:val="continue"/>
            <w:vAlign w:val="center"/>
          </w:tcPr>
          <w:p w14:paraId="761F93F3">
            <w:pPr>
              <w:adjustRightInd w:val="0"/>
              <w:snapToGrid w:val="0"/>
              <w:spacing w:line="276" w:lineRule="auto"/>
              <w:jc w:val="center"/>
              <w:rPr>
                <w:b/>
                <w:szCs w:val="21"/>
              </w:rPr>
            </w:pPr>
          </w:p>
        </w:tc>
        <w:tc>
          <w:tcPr>
            <w:tcW w:w="1281"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737"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ascii="Times New Roman" w:eastAsia="宋体"/>
                <w:color w:val="000000" w:themeColor="text1"/>
                <w:szCs w:val="21"/>
                <w:highlight w:val="none"/>
                <w:lang w:val="en-US" w:eastAsia="zh-CN"/>
                <w14:textFill>
                  <w14:solidFill>
                    <w14:schemeClr w14:val="tx1"/>
                  </w14:solidFill>
                </w14:textFill>
              </w:rPr>
              <w:t>无</w:t>
            </w:r>
          </w:p>
        </w:tc>
        <w:tc>
          <w:tcPr>
            <w:tcW w:w="881"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646" w:type="dxa"/>
            <w:vMerge w:val="continue"/>
            <w:vAlign w:val="center"/>
          </w:tcPr>
          <w:p w14:paraId="58A3BA95">
            <w:pPr>
              <w:adjustRightInd w:val="0"/>
              <w:snapToGrid w:val="0"/>
              <w:spacing w:line="276" w:lineRule="auto"/>
              <w:jc w:val="center"/>
              <w:rPr>
                <w:b/>
                <w:szCs w:val="21"/>
              </w:rPr>
            </w:pPr>
          </w:p>
        </w:tc>
        <w:tc>
          <w:tcPr>
            <w:tcW w:w="1281" w:type="dxa"/>
            <w:vAlign w:val="center"/>
          </w:tcPr>
          <w:p w14:paraId="66F924DF">
            <w:pPr>
              <w:adjustRightInd w:val="0"/>
              <w:snapToGrid w:val="0"/>
              <w:spacing w:line="276" w:lineRule="auto"/>
              <w:jc w:val="center"/>
              <w:rPr>
                <w:szCs w:val="21"/>
              </w:rPr>
            </w:pPr>
            <w:r>
              <w:rPr>
                <w:rFonts w:hint="eastAsia"/>
                <w:szCs w:val="21"/>
              </w:rPr>
              <w:t>3-7</w:t>
            </w:r>
          </w:p>
        </w:tc>
        <w:tc>
          <w:tcPr>
            <w:tcW w:w="14737"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881"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4"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281"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737"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7BB48153">
            <w:pPr>
              <w:numPr>
                <w:ilvl w:val="0"/>
                <w:numId w:val="0"/>
              </w:num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，易守华,田万一，王群.Semi-Analytical Solution Model for Bending Deformation of T-Shaped Aviation Aluminium Alloy Components under Residual Stress，Metals, 2024</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14</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SCI检索</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SCI 3区）；计42分</w:t>
            </w:r>
          </w:p>
          <w:p w14:paraId="47E52258">
            <w:pPr>
              <w:numPr>
                <w:ilvl w:val="0"/>
                <w:numId w:val="0"/>
              </w:num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ascii="Times New Roman" w:hAnsi="Times New Roman" w:cs="Times New Roman"/>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，方璐,唐文谦，谢治华，余剑锋.数字经济背景下工业互联网人才实践教学路径的研究与建设，教育科学，2022年第6期 179 - 182</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p>
          <w:p w14:paraId="486EA2AB">
            <w:pPr>
              <w:numPr>
                <w:ilvl w:val="0"/>
                <w:numId w:val="0"/>
              </w:num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ascii="Times New Roman" w:hAnsi="Times New Roman" w:cs="Times New Roman"/>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，袁胜，李传经.一种带自动卷收网布结构的汽车天窗挡风网系统，时代汽车，2020（15）92-93</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p>
          <w:p w14:paraId="37CA6501">
            <w:pPr>
              <w:numPr>
                <w:ilvl w:val="0"/>
                <w:numId w:val="0"/>
              </w:num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ascii="Times New Roman" w:hAnsi="Times New Roman" w:cs="Times New Roman"/>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，袁胜，李传经.天窗胶条异响分析及解决实例，装备维修技术，2020年第12期，7-8</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p>
          <w:p w14:paraId="6247C79B">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w:t>
            </w:r>
            <w:r>
              <w:rPr>
                <w:rFonts w:hint="eastAsia" w:ascii="Times New Roman" w:hAnsi="Times New Roman" w:cs="Times New Roman"/>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，袁胜.天窗设计结构优化策略浅析，中国战略新兴产业，2020年第40期，226转228</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p>
          <w:p w14:paraId="3EF98111">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]易守华，</w:t>
            </w:r>
            <w:r>
              <w:rPr>
                <w:rFonts w:hint="eastAsia" w:ascii="Times New Roman" w:hAnsi="Times New Roman" w:cs="Times New Roman"/>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，田万一</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王群，</w:t>
            </w:r>
            <w:r>
              <w:rPr>
                <w:rFonts w:hint="eastAsia"/>
                <w:color w:val="000000" w:themeColor="text1"/>
                <w:szCs w:val="21"/>
                <w14:textFill>
                  <w14:solidFill>
                    <w14:schemeClr w14:val="tx1"/>
                  </w14:solidFill>
                </w14:textFill>
              </w:rPr>
              <w:t>.数字化背景下“人机协同”工程训练模式的探索与实践，科教导刊（电子版），2023第32期，226-228</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计0.45分</w:t>
            </w:r>
          </w:p>
          <w:p w14:paraId="523A85C4">
            <w:pPr>
              <w:numPr>
                <w:ilvl w:val="0"/>
                <w:numId w:val="0"/>
              </w:num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]易守华，田万一，王群，朱克忆，</w:t>
            </w:r>
            <w:r>
              <w:rPr>
                <w:rFonts w:hint="eastAsia" w:ascii="Times New Roman" w:hAnsi="Times New Roman" w:cs="Times New Roman"/>
                <w:b/>
                <w:bCs/>
                <w:color w:val="000000" w:themeColor="text1"/>
                <w:szCs w:val="21"/>
                <w:u w:val="single"/>
                <w14:textFill>
                  <w14:solidFill>
                    <w14:schemeClr w14:val="tx1"/>
                  </w14:solidFill>
                </w14:textFill>
              </w:rPr>
              <w:t>李宁</w:t>
            </w:r>
            <w:r>
              <w:rPr>
                <w:rFonts w:hint="eastAsia"/>
                <w:color w:val="000000" w:themeColor="text1"/>
                <w:szCs w:val="21"/>
                <w14:textFill>
                  <w14:solidFill>
                    <w14:schemeClr w14:val="tx1"/>
                  </w14:solidFill>
                </w14:textFill>
              </w:rPr>
              <w:t>.工程创新训练中课程思政的探索与实践，教育科学， 2023年第5期，74 - 77</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计0.15分</w:t>
            </w:r>
          </w:p>
        </w:tc>
        <w:tc>
          <w:tcPr>
            <w:tcW w:w="881"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56.6</w:t>
            </w:r>
          </w:p>
        </w:tc>
        <w:tc>
          <w:tcPr>
            <w:tcW w:w="1274" w:type="dxa"/>
            <w:vAlign w:val="center"/>
          </w:tcPr>
          <w:p w14:paraId="374D219A">
            <w:pPr>
              <w:adjustRightInd w:val="0"/>
              <w:snapToGrid w:val="0"/>
              <w:spacing w:line="276" w:lineRule="auto"/>
              <w:jc w:val="center"/>
              <w:rPr>
                <w:color w:val="auto"/>
                <w:szCs w:val="21"/>
              </w:rPr>
            </w:pP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281" w:type="dxa"/>
            <w:vAlign w:val="center"/>
          </w:tcPr>
          <w:p w14:paraId="501AB396">
            <w:pPr>
              <w:adjustRightInd w:val="0"/>
              <w:snapToGrid w:val="0"/>
              <w:spacing w:line="276" w:lineRule="auto"/>
              <w:jc w:val="center"/>
              <w:rPr>
                <w:szCs w:val="21"/>
              </w:rPr>
            </w:pPr>
            <w:r>
              <w:rPr>
                <w:rFonts w:hint="eastAsia"/>
                <w:szCs w:val="21"/>
              </w:rPr>
              <w:t>4-2</w:t>
            </w:r>
          </w:p>
        </w:tc>
        <w:tc>
          <w:tcPr>
            <w:tcW w:w="14737"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06A36595">
            <w:pPr>
              <w:numPr>
                <w:ilvl w:val="0"/>
                <w:numId w:val="2"/>
              </w:numPr>
              <w:adjustRightInd w:val="0"/>
              <w:snapToGrid w:val="0"/>
              <w:spacing w:line="276" w:lineRule="auto"/>
              <w:rPr>
                <w:rFonts w:hint="eastAsia"/>
                <w:color w:val="auto"/>
                <w:szCs w:val="21"/>
                <w:lang w:val="en-US" w:eastAsia="zh-CN"/>
              </w:rPr>
            </w:pPr>
            <w:r>
              <w:rPr>
                <w:rFonts w:hint="eastAsia"/>
                <w:color w:val="auto"/>
                <w:szCs w:val="21"/>
                <w:lang w:val="en-US" w:eastAsia="zh-CN"/>
              </w:rPr>
              <w:t>主编：胡玉鹏，副主编：方璐，</w:t>
            </w:r>
            <w:r>
              <w:rPr>
                <w:rFonts w:hint="eastAsia"/>
                <w:b/>
                <w:bCs/>
                <w:color w:val="auto"/>
                <w:szCs w:val="21"/>
                <w:u w:val="single"/>
                <w:lang w:val="en-US" w:eastAsia="zh-CN"/>
              </w:rPr>
              <w:t>李宁</w:t>
            </w:r>
            <w:r>
              <w:rPr>
                <w:rFonts w:hint="eastAsia"/>
                <w:color w:val="auto"/>
                <w:szCs w:val="21"/>
                <w:lang w:val="en-US" w:eastAsia="zh-CN"/>
              </w:rPr>
              <w:t>，陈浩文，何思源，伍麟珺，工业互联网关键技术与安全，清华大学出版社</w:t>
            </w:r>
            <w:r>
              <w:rPr>
                <w:color w:val="auto"/>
                <w:szCs w:val="21"/>
              </w:rPr>
              <w:t>（国家</w:t>
            </w:r>
            <w:r>
              <w:rPr>
                <w:rFonts w:hint="eastAsia"/>
                <w:color w:val="auto"/>
                <w:szCs w:val="21"/>
                <w:lang w:val="en-US" w:eastAsia="zh-CN"/>
              </w:rPr>
              <w:t>一级</w:t>
            </w:r>
            <w:r>
              <w:rPr>
                <w:color w:val="auto"/>
                <w:szCs w:val="21"/>
              </w:rPr>
              <w:t>出版社）</w:t>
            </w:r>
            <w:r>
              <w:rPr>
                <w:rFonts w:hint="eastAsia"/>
                <w:color w:val="auto"/>
                <w:szCs w:val="21"/>
                <w:highlight w:val="none"/>
                <w:lang w:val="en-US" w:eastAsia="zh-CN"/>
              </w:rPr>
              <w:t>，353</w:t>
            </w:r>
            <w:r>
              <w:rPr>
                <w:color w:val="auto"/>
                <w:szCs w:val="21"/>
                <w:highlight w:val="none"/>
              </w:rPr>
              <w:t>千字</w:t>
            </w:r>
            <w:r>
              <w:rPr>
                <w:color w:val="auto"/>
                <w:szCs w:val="21"/>
              </w:rPr>
              <w:t xml:space="preserve">， </w:t>
            </w:r>
            <w:r>
              <w:rPr>
                <w:rFonts w:hint="eastAsia"/>
                <w:color w:val="auto"/>
                <w:szCs w:val="21"/>
                <w:lang w:eastAsia="zh-CN"/>
              </w:rPr>
              <w:t>202</w:t>
            </w:r>
            <w:r>
              <w:rPr>
                <w:rFonts w:hint="eastAsia"/>
                <w:color w:val="auto"/>
                <w:szCs w:val="21"/>
                <w:lang w:val="en-US" w:eastAsia="zh-CN"/>
              </w:rPr>
              <w:t>4</w:t>
            </w:r>
            <w:r>
              <w:rPr>
                <w:color w:val="auto"/>
                <w:szCs w:val="21"/>
              </w:rPr>
              <w:t>.10</w:t>
            </w:r>
            <w:r>
              <w:rPr>
                <w:rFonts w:hint="eastAsia"/>
                <w:color w:val="auto"/>
                <w:szCs w:val="21"/>
                <w:lang w:eastAsia="zh-CN"/>
              </w:rPr>
              <w:t>；</w:t>
            </w:r>
            <w:r>
              <w:rPr>
                <w:rFonts w:hint="eastAsia"/>
                <w:color w:val="auto"/>
                <w:szCs w:val="21"/>
                <w:lang w:val="en-US" w:eastAsia="zh-CN"/>
              </w:rPr>
              <w:t>计5分。</w:t>
            </w:r>
          </w:p>
          <w:p w14:paraId="65263F83">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主编：蔡立军，刘杰，李芬；参编：张泽林，龚完全，曹缪，胡玉鹏，唐文谦，</w:t>
            </w:r>
            <w:r>
              <w:rPr>
                <w:rFonts w:hint="eastAsia"/>
                <w:b/>
                <w:bCs/>
                <w:color w:val="auto"/>
                <w:szCs w:val="21"/>
                <w:u w:val="single"/>
                <w:lang w:val="en-US" w:eastAsia="zh-CN"/>
              </w:rPr>
              <w:t>李宁</w:t>
            </w:r>
            <w:r>
              <w:rPr>
                <w:rFonts w:hint="eastAsia"/>
                <w:color w:val="auto"/>
                <w:szCs w:val="21"/>
                <w:lang w:val="en-US" w:eastAsia="zh-CN"/>
              </w:rPr>
              <w:t>等，大学生劳动教育与实践，湖南大学出版社，353千字，2023.9，计2分。</w:t>
            </w:r>
          </w:p>
        </w:tc>
        <w:tc>
          <w:tcPr>
            <w:tcW w:w="881"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7</w:t>
            </w:r>
          </w:p>
        </w:tc>
        <w:tc>
          <w:tcPr>
            <w:tcW w:w="1274" w:type="dxa"/>
            <w:vAlign w:val="center"/>
          </w:tcPr>
          <w:p w14:paraId="5A2B9D2B">
            <w:pPr>
              <w:adjustRightInd w:val="0"/>
              <w:snapToGrid w:val="0"/>
              <w:spacing w:line="276" w:lineRule="auto"/>
              <w:jc w:val="center"/>
              <w:rPr>
                <w:color w:val="auto"/>
                <w:szCs w:val="21"/>
              </w:rPr>
            </w:pP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46" w:type="dxa"/>
            <w:vMerge w:val="continue"/>
            <w:vAlign w:val="center"/>
          </w:tcPr>
          <w:p w14:paraId="4B5C8A4B">
            <w:pPr>
              <w:adjustRightInd w:val="0"/>
              <w:snapToGrid w:val="0"/>
              <w:spacing w:line="276" w:lineRule="auto"/>
              <w:jc w:val="center"/>
              <w:rPr>
                <w:b/>
                <w:szCs w:val="21"/>
              </w:rPr>
            </w:pPr>
          </w:p>
        </w:tc>
        <w:tc>
          <w:tcPr>
            <w:tcW w:w="1281"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737"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881"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color w:val="auto"/>
                <w:szCs w:val="21"/>
              </w:rPr>
            </w:pP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6" w:type="dxa"/>
            <w:vMerge w:val="continue"/>
            <w:vAlign w:val="center"/>
          </w:tcPr>
          <w:p w14:paraId="662BED10">
            <w:pPr>
              <w:adjustRightInd w:val="0"/>
              <w:snapToGrid w:val="0"/>
              <w:spacing w:line="276" w:lineRule="auto"/>
              <w:jc w:val="center"/>
              <w:rPr>
                <w:b/>
                <w:szCs w:val="21"/>
              </w:rPr>
            </w:pPr>
          </w:p>
        </w:tc>
        <w:tc>
          <w:tcPr>
            <w:tcW w:w="1281" w:type="dxa"/>
            <w:vMerge w:val="continue"/>
            <w:vAlign w:val="center"/>
          </w:tcPr>
          <w:p w14:paraId="5C681B9A">
            <w:pPr>
              <w:adjustRightInd w:val="0"/>
              <w:snapToGrid w:val="0"/>
              <w:spacing w:line="276" w:lineRule="auto"/>
              <w:jc w:val="center"/>
              <w:rPr>
                <w:szCs w:val="21"/>
              </w:rPr>
            </w:pPr>
          </w:p>
        </w:tc>
        <w:tc>
          <w:tcPr>
            <w:tcW w:w="14737"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881"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7" w:hRule="atLeast"/>
        </w:trPr>
        <w:tc>
          <w:tcPr>
            <w:tcW w:w="646" w:type="dxa"/>
            <w:vMerge w:val="continue"/>
            <w:vAlign w:val="center"/>
          </w:tcPr>
          <w:p w14:paraId="5F4586BF">
            <w:pPr>
              <w:adjustRightInd w:val="0"/>
              <w:snapToGrid w:val="0"/>
              <w:spacing w:line="276" w:lineRule="auto"/>
              <w:jc w:val="center"/>
              <w:rPr>
                <w:b/>
                <w:szCs w:val="21"/>
              </w:rPr>
            </w:pPr>
          </w:p>
        </w:tc>
        <w:tc>
          <w:tcPr>
            <w:tcW w:w="1281"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737"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75654F4A">
            <w:pPr>
              <w:adjustRightInd w:val="0"/>
              <w:snapToGrid w:val="0"/>
              <w:spacing w:line="276" w:lineRule="auto"/>
              <w:rPr>
                <w:rFonts w:hint="eastAsia"/>
                <w:color w:val="auto"/>
                <w:szCs w:val="21"/>
              </w:rPr>
            </w:pPr>
            <w:r>
              <w:rPr>
                <w:rFonts w:hint="eastAsia" w:asciiTheme="minorEastAsia" w:hAnsiTheme="minorEastAsia" w:eastAsiaTheme="minorEastAsia"/>
                <w:color w:val="auto"/>
                <w:szCs w:val="21"/>
                <w:lang w:val="en-US" w:eastAsia="zh-CN"/>
              </w:rPr>
              <w:t>填写</w:t>
            </w:r>
            <w:r>
              <w:rPr>
                <w:rFonts w:asciiTheme="minorEastAsia" w:hAnsiTheme="minorEastAsia" w:eastAsiaTheme="minorEastAsia"/>
                <w:color w:val="auto"/>
                <w:szCs w:val="21"/>
              </w:rPr>
              <w:t>格式：[序号]本人，项目类别（横向项目请标记为：横向项目），批准号，名称，研究起止年月，获资助金额，项目状态（已结题或在研等），主持；</w:t>
            </w:r>
            <w:r>
              <w:rPr>
                <w:rFonts w:hint="eastAsia"/>
                <w:color w:val="auto"/>
                <w:szCs w:val="21"/>
              </w:rPr>
              <w:t>计</w:t>
            </w:r>
            <w:r>
              <w:rPr>
                <w:rFonts w:hint="eastAsia"/>
                <w:color w:val="auto"/>
                <w:szCs w:val="21"/>
                <w:lang w:val="en-US" w:eastAsia="zh-CN"/>
              </w:rPr>
              <w:t>X</w:t>
            </w:r>
            <w:r>
              <w:rPr>
                <w:rFonts w:hint="eastAsia"/>
                <w:color w:val="auto"/>
                <w:szCs w:val="21"/>
              </w:rPr>
              <w:t>分</w:t>
            </w:r>
          </w:p>
          <w:p w14:paraId="7DE3D858">
            <w:pPr>
              <w:adjustRightInd w:val="0"/>
              <w:snapToGrid w:val="0"/>
              <w:spacing w:line="276" w:lineRule="auto"/>
              <w:rPr>
                <w:rFonts w:hint="eastAsia"/>
                <w:color w:val="auto"/>
                <w:szCs w:val="21"/>
              </w:rPr>
            </w:pPr>
          </w:p>
          <w:p w14:paraId="1157A0D0">
            <w:pPr>
              <w:numPr>
                <w:ilvl w:val="0"/>
                <w:numId w:val="0"/>
              </w:numPr>
              <w:adjustRightInd w:val="0"/>
              <w:snapToGrid w:val="0"/>
              <w:spacing w:line="276" w:lineRule="auto"/>
              <w:rPr>
                <w:rFonts w:hint="default" w:eastAsia="宋体"/>
                <w:color w:val="auto"/>
                <w:szCs w:val="21"/>
                <w:highlight w:val="red"/>
                <w:lang w:val="en-US" w:eastAsia="zh-CN"/>
              </w:rPr>
            </w:pPr>
            <w:r>
              <w:rPr>
                <w:rFonts w:hint="eastAsia" w:ascii="Times New Roman" w:hAnsi="Times New Roman" w:eastAsia="宋体" w:cs="Times New Roman"/>
                <w:color w:val="auto"/>
                <w:kern w:val="2"/>
                <w:sz w:val="21"/>
                <w:szCs w:val="21"/>
                <w:lang w:val="en-US" w:eastAsia="zh-CN" w:bidi="ar-SA"/>
              </w:rPr>
              <w:t>[1]</w:t>
            </w:r>
            <w:r>
              <w:rPr>
                <w:rFonts w:hint="eastAsia"/>
                <w:b/>
                <w:bCs/>
                <w:color w:val="auto"/>
                <w:szCs w:val="21"/>
                <w:u w:val="single"/>
                <w:lang w:val="en-US" w:eastAsia="zh-CN"/>
              </w:rPr>
              <w:t>李宁</w:t>
            </w:r>
            <w:r>
              <w:rPr>
                <w:rFonts w:hint="eastAsia"/>
                <w:color w:val="auto"/>
                <w:szCs w:val="21"/>
                <w:lang w:val="en-US" w:eastAsia="zh-CN"/>
              </w:rPr>
              <w:t>，湖南省社会科学成果评审委员会，XSP25YBZ062，面向湖南制造业数智化转型的装备制造类“湖湘数字工匠”培养路径的探索与实践，2025/1-2026/12，2万元，在研，主持，计33.6分</w:t>
            </w:r>
          </w:p>
          <w:p w14:paraId="45FEFA56">
            <w:pPr>
              <w:numPr>
                <w:ilvl w:val="0"/>
                <w:numId w:val="0"/>
              </w:numPr>
              <w:adjustRightInd w:val="0"/>
              <w:snapToGrid w:val="0"/>
              <w:spacing w:line="276" w:lineRule="auto"/>
              <w:rPr>
                <w:rFonts w:hint="default"/>
                <w:color w:val="auto"/>
                <w:sz w:val="18"/>
                <w:szCs w:val="18"/>
                <w:highlight w:val="red"/>
                <w:lang w:val="en-US"/>
              </w:rPr>
            </w:pPr>
            <w:r>
              <w:rPr>
                <w:rFonts w:hint="eastAsia"/>
                <w:color w:val="auto"/>
                <w:szCs w:val="21"/>
                <w:highlight w:val="none"/>
                <w:lang w:val="en-US" w:eastAsia="zh-CN"/>
              </w:rPr>
              <w:t>[2]</w:t>
            </w:r>
            <w:r>
              <w:rPr>
                <w:rFonts w:hint="eastAsia"/>
                <w:b/>
                <w:bCs/>
                <w:color w:val="auto"/>
                <w:szCs w:val="21"/>
                <w:u w:val="single"/>
                <w:lang w:val="en-US" w:eastAsia="zh-CN"/>
              </w:rPr>
              <w:t>李宁</w:t>
            </w:r>
            <w:r>
              <w:rPr>
                <w:rFonts w:hint="eastAsia"/>
                <w:color w:val="auto"/>
                <w:szCs w:val="21"/>
                <w:lang w:val="en-US" w:eastAsia="zh-CN"/>
              </w:rPr>
              <w:t>，湖南省教育厅科研项目，24C0924，</w:t>
            </w:r>
            <w:r>
              <w:rPr>
                <w:rFonts w:hint="eastAsia" w:ascii="宋体" w:hAnsi="宋体" w:eastAsia="宋体" w:cs="Times New Roman"/>
                <w:sz w:val="22"/>
                <w:szCs w:val="28"/>
                <w:lang w:val="en-US" w:eastAsia="zh-CN"/>
              </w:rPr>
              <w:t>航空铝合金弱刚性薄壁件切削变形预测及抑制方法研究</w:t>
            </w:r>
            <w:r>
              <w:rPr>
                <w:rFonts w:hint="eastAsia" w:ascii="宋体" w:hAnsi="宋体" w:cs="Times New Roman"/>
                <w:sz w:val="22"/>
                <w:szCs w:val="28"/>
                <w:lang w:val="en-US" w:eastAsia="zh-CN"/>
              </w:rPr>
              <w:t>，</w:t>
            </w:r>
            <w:r>
              <w:rPr>
                <w:rFonts w:hint="eastAsia"/>
                <w:color w:val="auto"/>
                <w:szCs w:val="21"/>
                <w:lang w:val="en-US" w:eastAsia="zh-CN"/>
              </w:rPr>
              <w:t>2025/1-2026/12，2万元，在</w:t>
            </w:r>
            <w:r>
              <w:rPr>
                <w:rFonts w:hint="eastAsia"/>
                <w:color w:val="auto"/>
                <w:sz w:val="18"/>
                <w:szCs w:val="18"/>
                <w:lang w:val="en-US" w:eastAsia="zh-CN"/>
              </w:rPr>
              <w:t>研，主持，计9分</w:t>
            </w:r>
          </w:p>
          <w:p w14:paraId="148CC0C7">
            <w:pPr>
              <w:keepNext w:val="0"/>
              <w:keepLines w:val="0"/>
              <w:widowControl/>
              <w:suppressLineNumbers w:val="0"/>
              <w:jc w:val="left"/>
              <w:rPr>
                <w:sz w:val="21"/>
                <w:szCs w:val="21"/>
              </w:rPr>
            </w:pPr>
            <w:r>
              <w:rPr>
                <w:rFonts w:hint="eastAsia"/>
                <w:color w:val="auto"/>
                <w:sz w:val="21"/>
                <w:szCs w:val="21"/>
                <w:highlight w:val="none"/>
                <w:lang w:val="en-US" w:eastAsia="zh-CN"/>
              </w:rPr>
              <w:t>[3]</w:t>
            </w:r>
            <w:r>
              <w:rPr>
                <w:rFonts w:hint="eastAsia"/>
                <w:b/>
                <w:bCs/>
                <w:color w:val="auto"/>
                <w:sz w:val="21"/>
                <w:szCs w:val="21"/>
                <w:highlight w:val="none"/>
                <w:u w:val="single"/>
                <w:lang w:val="en-US" w:eastAsia="zh-CN"/>
              </w:rPr>
              <w:t>李</w:t>
            </w:r>
            <w:r>
              <w:rPr>
                <w:rFonts w:hint="eastAsia"/>
                <w:b/>
                <w:bCs/>
                <w:color w:val="auto"/>
                <w:sz w:val="21"/>
                <w:szCs w:val="21"/>
                <w:u w:val="single"/>
                <w:lang w:val="en-US" w:eastAsia="zh-CN"/>
              </w:rPr>
              <w:t>宁</w:t>
            </w:r>
            <w:r>
              <w:rPr>
                <w:rFonts w:hint="eastAsia"/>
                <w:color w:val="auto"/>
                <w:sz w:val="21"/>
                <w:szCs w:val="21"/>
                <w:lang w:val="en-US" w:eastAsia="zh-CN"/>
              </w:rPr>
              <w:t>，</w:t>
            </w:r>
            <w:r>
              <w:rPr>
                <w:rFonts w:hint="eastAsia" w:ascii="Times New Roman" w:hAnsi="Times New Roman" w:eastAsia="宋体" w:cs="Times New Roman"/>
                <w:kern w:val="2"/>
                <w:sz w:val="21"/>
                <w:szCs w:val="21"/>
                <w:lang w:val="en-US" w:eastAsia="zh-CN" w:bidi="ar-SA"/>
              </w:rPr>
              <w:t>教育部高等学校工程训练教学指导委员会教学方法创新研究项目</w:t>
            </w:r>
            <w:r>
              <w:rPr>
                <w:rFonts w:hint="eastAsia" w:cs="Times New Roman"/>
                <w:kern w:val="2"/>
                <w:sz w:val="21"/>
                <w:szCs w:val="21"/>
                <w:lang w:val="en-US" w:eastAsia="zh-CN" w:bidi="ar-SA"/>
              </w:rPr>
              <w:t>，</w:t>
            </w:r>
            <w:r>
              <w:rPr>
                <w:rFonts w:hint="eastAsia" w:ascii="宋体" w:hAnsi="宋体" w:eastAsia="宋体" w:cs="宋体"/>
                <w:color w:val="000000"/>
                <w:kern w:val="0"/>
                <w:sz w:val="21"/>
                <w:szCs w:val="21"/>
                <w:lang w:val="en-US" w:eastAsia="zh-CN" w:bidi="ar"/>
              </w:rPr>
              <w:t xml:space="preserve">2022JJGX-WKJY-05,IPD 工程全周期实践教学方法研究——以工业互联网工程训 </w:t>
            </w:r>
          </w:p>
          <w:p w14:paraId="2D312BDA">
            <w:pPr>
              <w:keepNext w:val="0"/>
              <w:keepLines w:val="0"/>
              <w:widowControl/>
              <w:suppressLineNumbers w:val="0"/>
              <w:jc w:val="left"/>
              <w:rPr>
                <w:rFonts w:hint="default" w:eastAsia="宋体"/>
                <w:color w:val="auto"/>
                <w:sz w:val="21"/>
                <w:szCs w:val="21"/>
                <w:highlight w:val="red"/>
                <w:lang w:val="en-US" w:eastAsia="zh-CN"/>
              </w:rPr>
            </w:pPr>
            <w:r>
              <w:rPr>
                <w:rFonts w:hint="eastAsia" w:ascii="宋体" w:hAnsi="宋体" w:eastAsia="宋体" w:cs="宋体"/>
                <w:color w:val="000000"/>
                <w:kern w:val="0"/>
                <w:sz w:val="21"/>
                <w:szCs w:val="21"/>
                <w:lang w:val="en-US" w:eastAsia="zh-CN" w:bidi="ar"/>
              </w:rPr>
              <w:t>练为例</w:t>
            </w:r>
            <w:r>
              <w:rPr>
                <w:rFonts w:hint="eastAsia" w:ascii="宋体" w:hAnsi="宋体" w:cs="宋体"/>
                <w:color w:val="000000"/>
                <w:kern w:val="0"/>
                <w:sz w:val="21"/>
                <w:szCs w:val="21"/>
                <w:lang w:val="en-US" w:eastAsia="zh-CN" w:bidi="ar"/>
              </w:rPr>
              <w:t>，</w:t>
            </w:r>
            <w:r>
              <w:rPr>
                <w:rFonts w:hint="eastAsia"/>
                <w:color w:val="auto"/>
                <w:sz w:val="21"/>
                <w:szCs w:val="21"/>
                <w:lang w:val="en-US" w:eastAsia="zh-CN"/>
              </w:rPr>
              <w:t>2022/4-2024/4，2万元，已结题，主持，</w:t>
            </w:r>
            <w:r>
              <w:rPr>
                <w:rFonts w:hint="eastAsia" w:ascii="Times New Roman" w:hAnsi="Times New Roman" w:eastAsia="宋体" w:cs="Times New Roman"/>
                <w:kern w:val="2"/>
                <w:sz w:val="21"/>
                <w:szCs w:val="21"/>
                <w:lang w:val="en-US" w:eastAsia="zh-CN" w:bidi="ar-SA"/>
              </w:rPr>
              <w:t>计15分</w:t>
            </w:r>
          </w:p>
          <w:p w14:paraId="36A867BC">
            <w:pPr>
              <w:numPr>
                <w:ilvl w:val="0"/>
                <w:numId w:val="0"/>
              </w:numPr>
              <w:adjustRightInd w:val="0"/>
              <w:snapToGrid w:val="0"/>
              <w:spacing w:line="276" w:lineRule="auto"/>
              <w:rPr>
                <w:rFonts w:hint="default"/>
                <w:color w:val="auto"/>
                <w:sz w:val="21"/>
                <w:szCs w:val="21"/>
                <w:highlight w:val="red"/>
                <w:lang w:val="en-US"/>
              </w:rPr>
            </w:pPr>
            <w:r>
              <w:rPr>
                <w:rFonts w:hint="eastAsia" w:ascii="Times New Roman" w:hAnsi="Times New Roman" w:eastAsia="宋体" w:cs="Times New Roman"/>
                <w:color w:val="auto"/>
                <w:kern w:val="2"/>
                <w:sz w:val="21"/>
                <w:szCs w:val="21"/>
                <w:lang w:val="en-US" w:eastAsia="zh-CN" w:bidi="ar-SA"/>
              </w:rPr>
              <w:t>[4]</w:t>
            </w:r>
            <w:r>
              <w:rPr>
                <w:rFonts w:hint="eastAsia"/>
                <w:b/>
                <w:bCs/>
                <w:color w:val="auto"/>
                <w:sz w:val="21"/>
                <w:szCs w:val="21"/>
                <w:u w:val="single"/>
                <w:lang w:val="en-US" w:eastAsia="zh-CN"/>
              </w:rPr>
              <w:t>李宁</w:t>
            </w:r>
            <w:r>
              <w:rPr>
                <w:rFonts w:hint="eastAsia"/>
                <w:color w:val="auto"/>
                <w:sz w:val="21"/>
                <w:szCs w:val="21"/>
                <w:lang w:val="en-US" w:eastAsia="zh-CN"/>
              </w:rPr>
              <w:t>，湖南开放大学校级教改项目，XDK-2024-JG-10，数字化背景下装备制造类职业教育“人机协同”教学模式的研究与实践，2025/1-2026/12，0.2万元，在研，主持，计3分</w:t>
            </w:r>
          </w:p>
          <w:p w14:paraId="7E5838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[5]</w:t>
            </w:r>
            <w:r>
              <w:rPr>
                <w:rFonts w:hint="eastAsia" w:ascii="Times New Roman" w:hAnsi="Times New Roman" w:eastAsia="宋体" w:cs="Times New Roman"/>
                <w:b/>
                <w:bCs/>
                <w:color w:val="auto"/>
                <w:sz w:val="21"/>
                <w:szCs w:val="21"/>
                <w:u w:val="single"/>
                <w:lang w:val="en-US" w:eastAsia="zh-CN"/>
              </w:rPr>
              <w:t>李宁</w:t>
            </w:r>
            <w:r>
              <w:rPr>
                <w:rFonts w:hint="eastAsia" w:cstheme="minorBidi"/>
                <w:kern w:val="2"/>
                <w:sz w:val="21"/>
                <w:szCs w:val="21"/>
                <w:lang w:val="en-US" w:eastAsia="zh-CN" w:bidi="ar-SA"/>
              </w:rPr>
              <w:t>，2023湖南大学校级教学改革项目，《工业互联网实践教学设备软硬件升级改造》，</w:t>
            </w:r>
            <w:r>
              <w:rPr>
                <w:rFonts w:hint="eastAsia"/>
                <w:color w:val="auto"/>
                <w:sz w:val="21"/>
                <w:szCs w:val="21"/>
                <w:lang w:val="en-US" w:eastAsia="zh-CN"/>
              </w:rPr>
              <w:t>2023/1-2023/12，0.7万元，已结题，主持，计5分</w:t>
            </w:r>
          </w:p>
          <w:p w14:paraId="1CD9F5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[6]</w:t>
            </w:r>
            <w:r>
              <w:rPr>
                <w:rFonts w:hint="eastAsia" w:ascii="Times New Roman" w:hAnsi="Times New Roman" w:eastAsia="宋体" w:cs="Times New Roman"/>
                <w:b/>
                <w:bCs/>
                <w:color w:val="auto"/>
                <w:sz w:val="21"/>
                <w:szCs w:val="21"/>
                <w:u w:val="single"/>
                <w:lang w:val="en-US" w:eastAsia="zh-CN"/>
              </w:rPr>
              <w:t>李宁</w:t>
            </w:r>
            <w:r>
              <w:rPr>
                <w:rFonts w:hint="eastAsia" w:cstheme="minorBidi"/>
                <w:kern w:val="2"/>
                <w:sz w:val="21"/>
                <w:szCs w:val="21"/>
                <w:lang w:val="en-US" w:eastAsia="zh-CN" w:bidi="ar-SA"/>
              </w:rPr>
              <w:t>，2023湖南大学校级教学改革项目，《新工科背景下校企共育工程实践教学改革》，</w:t>
            </w:r>
            <w:r>
              <w:rPr>
                <w:rFonts w:hint="eastAsia"/>
                <w:color w:val="auto"/>
                <w:sz w:val="21"/>
                <w:szCs w:val="21"/>
                <w:lang w:val="en-US" w:eastAsia="zh-CN"/>
              </w:rPr>
              <w:t>2023/1-2023/12，1万元，已结题，主持，计5分</w:t>
            </w:r>
          </w:p>
          <w:p w14:paraId="2FAB08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color w:val="auto"/>
                <w:sz w:val="21"/>
                <w:szCs w:val="21"/>
                <w:highlight w:val="red"/>
              </w:rPr>
            </w:pPr>
            <w:r>
              <w:rPr>
                <w:rFonts w:hint="eastAsia" w:cstheme="minorBidi"/>
                <w:kern w:val="2"/>
                <w:sz w:val="21"/>
                <w:szCs w:val="21"/>
                <w:lang w:val="en-US" w:eastAsia="zh-CN" w:bidi="ar-SA"/>
              </w:rPr>
              <w:t>[7]</w:t>
            </w:r>
            <w:r>
              <w:rPr>
                <w:rFonts w:hint="eastAsia" w:ascii="Times New Roman" w:hAnsi="Times New Roman" w:eastAsia="宋体" w:cs="Times New Roman"/>
                <w:b/>
                <w:bCs/>
                <w:color w:val="auto"/>
                <w:sz w:val="21"/>
                <w:szCs w:val="21"/>
                <w:u w:val="single"/>
                <w:lang w:val="en-US" w:eastAsia="zh-CN"/>
              </w:rPr>
              <w:t>李宁</w:t>
            </w:r>
            <w:r>
              <w:rPr>
                <w:rFonts w:hint="eastAsia" w:cstheme="minorBidi"/>
                <w:kern w:val="2"/>
                <w:sz w:val="21"/>
                <w:szCs w:val="21"/>
                <w:lang w:val="en-US" w:eastAsia="zh-CN" w:bidi="ar-SA"/>
              </w:rPr>
              <w:t>，2022湖南大学校级教学改革项目，《&lt;走进工业互联网&gt;通识选修课建设及完善》，</w:t>
            </w:r>
            <w:r>
              <w:rPr>
                <w:rFonts w:hint="eastAsia"/>
                <w:color w:val="auto"/>
                <w:sz w:val="21"/>
                <w:szCs w:val="21"/>
                <w:lang w:val="en-US" w:eastAsia="zh-CN"/>
              </w:rPr>
              <w:t>2022/1-2022/12，1.5万元，已结题，主持，计5分</w:t>
            </w:r>
          </w:p>
          <w:p w14:paraId="3D18D49E">
            <w:pPr>
              <w:numPr>
                <w:ilvl w:val="0"/>
                <w:numId w:val="0"/>
              </w:numPr>
              <w:adjustRightInd w:val="0"/>
              <w:snapToGrid w:val="0"/>
              <w:spacing w:line="276" w:lineRule="auto"/>
              <w:rPr>
                <w:rFonts w:hint="default"/>
                <w:color w:val="auto"/>
                <w:szCs w:val="21"/>
                <w:highlight w:val="red"/>
                <w:lang w:val="en-US"/>
              </w:rPr>
            </w:pPr>
            <w:r>
              <w:rPr>
                <w:rFonts w:hint="eastAsia" w:ascii="Times New Roman" w:hAnsi="Times New Roman" w:eastAsia="宋体" w:cs="Times New Roman"/>
                <w:kern w:val="2"/>
                <w:sz w:val="21"/>
                <w:szCs w:val="22"/>
                <w:lang w:val="en-US" w:eastAsia="zh-CN" w:bidi="ar-SA"/>
              </w:rPr>
              <w:t>[8]陈志国，许怡赦，刘宝刚，</w:t>
            </w:r>
            <w:r>
              <w:rPr>
                <w:rFonts w:hint="eastAsia" w:ascii="Times New Roman" w:hAnsi="Times New Roman" w:eastAsia="宋体" w:cs="Times New Roman"/>
                <w:b/>
                <w:bCs/>
                <w:color w:val="auto"/>
                <w:sz w:val="21"/>
                <w:szCs w:val="21"/>
                <w:u w:val="single"/>
                <w:lang w:val="en-US" w:eastAsia="zh-CN"/>
              </w:rPr>
              <w:t>李宁</w:t>
            </w:r>
            <w:r>
              <w:rPr>
                <w:rFonts w:hint="eastAsia" w:cstheme="minorBidi"/>
                <w:kern w:val="2"/>
                <w:sz w:val="21"/>
                <w:szCs w:val="21"/>
                <w:lang w:val="en-US" w:eastAsia="zh-CN" w:bidi="ar-SA"/>
              </w:rPr>
              <w:t>，湖南省</w:t>
            </w:r>
            <w:r>
              <w:rPr>
                <w:rFonts w:asciiTheme="minorEastAsia" w:hAnsiTheme="minorEastAsia" w:eastAsiaTheme="minorEastAsia"/>
                <w:color w:val="auto"/>
                <w:szCs w:val="21"/>
              </w:rPr>
              <w:t>自然科学基金</w:t>
            </w:r>
            <w:r>
              <w:rPr>
                <w:rFonts w:hint="eastAsia" w:asciiTheme="minorEastAsia" w:hAnsiTheme="minorEastAsia" w:eastAsiaTheme="minorEastAsia"/>
                <w:color w:val="auto"/>
                <w:szCs w:val="21"/>
                <w:lang w:val="en-US" w:eastAsia="zh-CN"/>
              </w:rPr>
              <w:t>联合项目，</w:t>
            </w:r>
            <w:r>
              <w:rPr>
                <w:rFonts w:hint="default" w:asciiTheme="minorEastAsia" w:hAnsiTheme="minorEastAsia" w:eastAsiaTheme="minorEastAsia"/>
                <w:color w:val="auto"/>
                <w:szCs w:val="21"/>
                <w:lang w:val="en-US" w:eastAsia="zh-CN"/>
              </w:rPr>
              <w:t>2025JJ80339</w:t>
            </w:r>
            <w:r>
              <w:rPr>
                <w:rFonts w:hint="eastAsia" w:asciiTheme="minorEastAsia" w:hAnsiTheme="minorEastAsia" w:eastAsiaTheme="minorEastAsia"/>
                <w:color w:val="auto"/>
                <w:szCs w:val="21"/>
                <w:lang w:val="en-US" w:eastAsia="zh-CN"/>
              </w:rPr>
              <w:t>，高耐磨耐蚀Al2O3陶瓷复合涂层制备及硅的改性机理，</w:t>
            </w:r>
            <w:r>
              <w:rPr>
                <w:rFonts w:hint="eastAsia"/>
                <w:color w:val="auto"/>
                <w:szCs w:val="21"/>
                <w:lang w:val="en-US" w:eastAsia="zh-CN"/>
              </w:rPr>
              <w:t>2025/1-2027/12，5万元，在研，排名第4，计3分</w:t>
            </w:r>
          </w:p>
          <w:p w14:paraId="62A53196">
            <w:pPr>
              <w:numPr>
                <w:ilvl w:val="0"/>
                <w:numId w:val="0"/>
              </w:numPr>
              <w:adjustRightInd w:val="0"/>
              <w:snapToGrid w:val="0"/>
              <w:spacing w:line="276" w:lineRule="auto"/>
              <w:rPr>
                <w:rFonts w:hint="eastAsia" w:cstheme="minorBidi"/>
                <w:kern w:val="2"/>
                <w:sz w:val="21"/>
                <w:szCs w:val="21"/>
                <w:lang w:val="en-US" w:eastAsia="zh-CN" w:bidi="ar-SA"/>
              </w:rPr>
            </w:pPr>
            <w:r>
              <w:rPr>
                <w:rFonts w:hint="eastAsia" w:ascii="Times New Roman" w:hAnsi="Times New Roman" w:eastAsia="宋体" w:cstheme="minorBidi"/>
                <w:kern w:val="2"/>
                <w:sz w:val="21"/>
                <w:szCs w:val="21"/>
                <w:lang w:val="en-US" w:eastAsia="zh-CN" w:bidi="ar-SA"/>
              </w:rPr>
              <w:t>[9]</w:t>
            </w:r>
            <w:r>
              <w:rPr>
                <w:rFonts w:hint="eastAsia" w:cstheme="minorBidi"/>
                <w:kern w:val="2"/>
                <w:sz w:val="21"/>
                <w:szCs w:val="21"/>
                <w:lang w:val="en-US" w:eastAsia="zh-CN" w:bidi="ar-SA"/>
              </w:rPr>
              <w:t>易守华，王群，田万一，</w:t>
            </w:r>
            <w:r>
              <w:rPr>
                <w:rFonts w:hint="eastAsia" w:cstheme="minorBidi"/>
                <w:b/>
                <w:bCs/>
                <w:kern w:val="2"/>
                <w:sz w:val="21"/>
                <w:szCs w:val="21"/>
                <w:u w:val="single"/>
                <w:lang w:val="en-US" w:eastAsia="zh-CN" w:bidi="ar-SA"/>
              </w:rPr>
              <w:t>李宁</w:t>
            </w:r>
            <w:r>
              <w:rPr>
                <w:rFonts w:hint="eastAsia" w:cstheme="minorBidi"/>
                <w:kern w:val="2"/>
                <w:sz w:val="21"/>
                <w:szCs w:val="21"/>
                <w:lang w:val="en-US" w:eastAsia="zh-CN" w:bidi="ar-SA"/>
              </w:rPr>
              <w:t>，2023年湖南省教育厅教学改革一般项目，HNJG-20230169，数字化背景下“人机协同”工程训练模式的研究与实践，</w:t>
            </w:r>
            <w:r>
              <w:rPr>
                <w:rFonts w:hint="eastAsia"/>
                <w:color w:val="auto"/>
                <w:sz w:val="21"/>
                <w:szCs w:val="21"/>
                <w:lang w:val="en-US" w:eastAsia="zh-CN"/>
              </w:rPr>
              <w:t>2万元，</w:t>
            </w:r>
            <w:r>
              <w:rPr>
                <w:rFonts w:hint="eastAsia" w:cstheme="minorBidi"/>
                <w:kern w:val="2"/>
                <w:sz w:val="21"/>
                <w:szCs w:val="21"/>
                <w:lang w:val="en-US" w:eastAsia="zh-CN" w:bidi="ar-SA"/>
              </w:rPr>
              <w:t>在研，计0.72分。</w:t>
            </w:r>
          </w:p>
          <w:p w14:paraId="24DF1E17">
            <w:pPr>
              <w:numPr>
                <w:ilvl w:val="0"/>
                <w:numId w:val="0"/>
              </w:numPr>
              <w:adjustRightInd w:val="0"/>
              <w:snapToGrid w:val="0"/>
              <w:spacing w:line="276" w:lineRule="auto"/>
              <w:rPr>
                <w:rFonts w:hint="eastAsia" w:cstheme="minorBidi"/>
                <w:kern w:val="2"/>
                <w:sz w:val="21"/>
                <w:szCs w:val="21"/>
                <w:lang w:val="en-US" w:eastAsia="zh-CN" w:bidi="ar-SA"/>
              </w:rPr>
            </w:pPr>
            <w:r>
              <w:rPr>
                <w:rFonts w:hint="eastAsia" w:cstheme="minorBidi"/>
                <w:kern w:val="2"/>
                <w:sz w:val="21"/>
                <w:szCs w:val="21"/>
                <w:lang w:val="en-US" w:eastAsia="zh-CN" w:bidi="ar-SA"/>
              </w:rPr>
              <w:t>[10]谢治华，唐文谦，王毅，方璐，</w:t>
            </w:r>
            <w:r>
              <w:rPr>
                <w:rFonts w:hint="eastAsia" w:ascii="Times New Roman" w:hAnsi="Times New Roman" w:eastAsia="宋体" w:cstheme="minorBidi"/>
                <w:b/>
                <w:bCs/>
                <w:kern w:val="2"/>
                <w:sz w:val="21"/>
                <w:szCs w:val="21"/>
                <w:u w:val="single"/>
                <w:lang w:val="en-US" w:eastAsia="zh-CN" w:bidi="ar-SA"/>
              </w:rPr>
              <w:t>李宁，</w:t>
            </w:r>
            <w:r>
              <w:rPr>
                <w:rFonts w:hint="eastAsia" w:cstheme="minorBidi"/>
                <w:kern w:val="2"/>
                <w:sz w:val="21"/>
                <w:szCs w:val="21"/>
                <w:lang w:val="en-US" w:eastAsia="zh-CN" w:bidi="ar-SA"/>
              </w:rPr>
              <w:t>2022年湖南省教育厅教学改革一般项目，新工科与新文科融合的企业训练营课程思政模式构建与改革，</w:t>
            </w:r>
            <w:r>
              <w:rPr>
                <w:rFonts w:hint="eastAsia"/>
                <w:color w:val="auto"/>
                <w:sz w:val="21"/>
                <w:szCs w:val="21"/>
                <w:lang w:val="en-US" w:eastAsia="zh-CN"/>
              </w:rPr>
              <w:t>2万元，2022/1-2023/12，</w:t>
            </w:r>
            <w:r>
              <w:rPr>
                <w:rFonts w:hint="eastAsia" w:cstheme="minorBidi"/>
                <w:kern w:val="2"/>
                <w:sz w:val="21"/>
                <w:szCs w:val="21"/>
                <w:lang w:val="en-US" w:eastAsia="zh-CN" w:bidi="ar-SA"/>
              </w:rPr>
              <w:t>已结题，排名第5，计0.6分。</w:t>
            </w:r>
          </w:p>
          <w:p w14:paraId="563B47E6">
            <w:pPr>
              <w:numPr>
                <w:ilvl w:val="0"/>
                <w:numId w:val="0"/>
              </w:numPr>
              <w:adjustRightInd w:val="0"/>
              <w:snapToGrid w:val="0"/>
              <w:spacing w:line="276" w:lineRule="auto"/>
              <w:rPr>
                <w:rFonts w:hint="default"/>
                <w:color w:val="auto"/>
                <w:szCs w:val="21"/>
                <w:highlight w:val="red"/>
                <w:lang w:val="en-US" w:eastAsia="zh-CN"/>
              </w:rPr>
            </w:pPr>
            <w:r>
              <w:rPr>
                <w:rFonts w:hint="eastAsia" w:cstheme="minorBidi"/>
                <w:kern w:val="2"/>
                <w:sz w:val="21"/>
                <w:szCs w:val="21"/>
                <w:lang w:val="en-US" w:eastAsia="zh-CN" w:bidi="ar-SA"/>
              </w:rPr>
              <w:t>[11]陈浩文，方璐，谢治华，余剑锋，胡玉鹏，文一章，</w:t>
            </w:r>
            <w:r>
              <w:rPr>
                <w:rFonts w:hint="eastAsia" w:cstheme="minorBidi"/>
                <w:b/>
                <w:bCs/>
                <w:kern w:val="2"/>
                <w:sz w:val="21"/>
                <w:szCs w:val="21"/>
                <w:u w:val="single"/>
                <w:lang w:val="en-US" w:eastAsia="zh-CN" w:bidi="ar-SA"/>
              </w:rPr>
              <w:t>李宁</w:t>
            </w:r>
            <w:r>
              <w:rPr>
                <w:rFonts w:hint="eastAsia" w:cstheme="minorBidi"/>
                <w:kern w:val="2"/>
                <w:sz w:val="21"/>
                <w:szCs w:val="21"/>
                <w:lang w:val="en-US" w:eastAsia="zh-CN" w:bidi="ar-SA"/>
              </w:rPr>
              <w:t>，2021年教育部产学合作协同育人项目，202101007007，人工智能前沿与探索课程实践教学改革，</w:t>
            </w:r>
            <w:r>
              <w:rPr>
                <w:rFonts w:hint="eastAsia"/>
                <w:color w:val="auto"/>
                <w:sz w:val="21"/>
                <w:szCs w:val="21"/>
                <w:lang w:val="en-US" w:eastAsia="zh-CN"/>
              </w:rPr>
              <w:t>5万元，2022/1-2023/12，</w:t>
            </w:r>
            <w:r>
              <w:rPr>
                <w:rFonts w:hint="eastAsia" w:cstheme="minorBidi"/>
                <w:kern w:val="2"/>
                <w:sz w:val="21"/>
                <w:szCs w:val="21"/>
                <w:lang w:val="en-US" w:eastAsia="zh-CN" w:bidi="ar-SA"/>
              </w:rPr>
              <w:t>已结题，排名第7，计2.4分。</w:t>
            </w:r>
          </w:p>
        </w:tc>
        <w:tc>
          <w:tcPr>
            <w:tcW w:w="881"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82.32</w:t>
            </w:r>
          </w:p>
        </w:tc>
        <w:tc>
          <w:tcPr>
            <w:tcW w:w="1274" w:type="dxa"/>
            <w:vAlign w:val="center"/>
          </w:tcPr>
          <w:p w14:paraId="7F110803">
            <w:pPr>
              <w:adjustRightInd w:val="0"/>
              <w:snapToGrid w:val="0"/>
              <w:spacing w:line="276" w:lineRule="auto"/>
              <w:jc w:val="center"/>
              <w:rPr>
                <w:color w:val="auto"/>
                <w:szCs w:val="21"/>
              </w:rPr>
            </w:pP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281"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737"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4CB89164">
            <w:pPr>
              <w:adjustRightInd w:val="0"/>
              <w:snapToGrid w:val="0"/>
              <w:spacing w:line="276" w:lineRule="auto"/>
              <w:rPr>
                <w:rFonts w:hint="eastAsia"/>
                <w:color w:val="auto"/>
                <w:szCs w:val="21"/>
              </w:rPr>
            </w:pPr>
            <w:r>
              <w:rPr>
                <w:rFonts w:hint="eastAsia" w:ascii="Times New Roman" w:eastAsia="宋体"/>
                <w:color w:val="000000" w:themeColor="text1"/>
                <w:szCs w:val="21"/>
                <w:highlight w:val="none"/>
                <w:lang w:val="en-US" w:eastAsia="zh-CN"/>
                <w14:textFill>
                  <w14:solidFill>
                    <w14:schemeClr w14:val="tx1"/>
                  </w14:solidFill>
                </w14:textFill>
              </w:rPr>
              <w:t>无</w:t>
            </w:r>
          </w:p>
        </w:tc>
        <w:tc>
          <w:tcPr>
            <w:tcW w:w="881"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color w:val="auto"/>
                <w:szCs w:val="21"/>
              </w:rPr>
            </w:pP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281"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737"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6CD3E85E">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eastAsia="宋体"/>
                <w:color w:val="000000" w:themeColor="text1"/>
                <w:szCs w:val="21"/>
                <w:highlight w:val="none"/>
                <w:lang w:val="en-US" w:eastAsia="zh-CN"/>
                <w14:textFill>
                  <w14:solidFill>
                    <w14:schemeClr w14:val="tx1"/>
                  </w14:solidFill>
                </w14:textFill>
              </w:rPr>
              <w:t>无</w:t>
            </w:r>
          </w:p>
        </w:tc>
        <w:tc>
          <w:tcPr>
            <w:tcW w:w="881"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color w:val="auto"/>
                <w:szCs w:val="21"/>
              </w:rPr>
            </w:pP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646" w:type="dxa"/>
            <w:vMerge w:val="continue"/>
            <w:vAlign w:val="center"/>
          </w:tcPr>
          <w:p w14:paraId="0D25EA14">
            <w:pPr>
              <w:adjustRightInd w:val="0"/>
              <w:snapToGrid w:val="0"/>
              <w:spacing w:line="276" w:lineRule="auto"/>
              <w:jc w:val="center"/>
              <w:rPr>
                <w:b/>
                <w:szCs w:val="21"/>
              </w:rPr>
            </w:pPr>
          </w:p>
        </w:tc>
        <w:tc>
          <w:tcPr>
            <w:tcW w:w="1281" w:type="dxa"/>
            <w:vAlign w:val="center"/>
          </w:tcPr>
          <w:p w14:paraId="2C2CD238">
            <w:pPr>
              <w:adjustRightInd w:val="0"/>
              <w:snapToGrid w:val="0"/>
              <w:spacing w:line="276" w:lineRule="auto"/>
              <w:jc w:val="center"/>
              <w:rPr>
                <w:szCs w:val="21"/>
              </w:rPr>
            </w:pPr>
            <w:r>
              <w:rPr>
                <w:rFonts w:hint="eastAsia"/>
                <w:szCs w:val="21"/>
              </w:rPr>
              <w:t>4-6</w:t>
            </w:r>
          </w:p>
        </w:tc>
        <w:tc>
          <w:tcPr>
            <w:tcW w:w="14737"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3E14C044">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格式：[序号]所有专利完成人，专利名称，授权时间，国别，专利号；</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2823F3EE">
            <w:pPr>
              <w:numPr>
                <w:ilvl w:val="0"/>
                <w:numId w:val="3"/>
              </w:numPr>
              <w:adjustRightInd w:val="0"/>
              <w:snapToGrid w:val="0"/>
              <w:spacing w:line="276" w:lineRule="auto"/>
              <w:rPr>
                <w:rFonts w:hint="default" w:cstheme="minorBidi"/>
                <w:kern w:val="2"/>
                <w:sz w:val="21"/>
                <w:szCs w:val="21"/>
                <w:lang w:val="en-US" w:eastAsia="zh-CN" w:bidi="ar-SA"/>
              </w:rPr>
            </w:pPr>
            <w:r>
              <w:rPr>
                <w:rFonts w:hint="eastAsia"/>
                <w:b/>
                <w:bCs/>
                <w:color w:val="000000" w:themeColor="text1"/>
                <w:sz w:val="21"/>
                <w:szCs w:val="21"/>
                <w:u w:val="single"/>
                <w:lang w:val="en-US" w:eastAsia="zh-CN"/>
                <w14:textFill>
                  <w14:solidFill>
                    <w14:schemeClr w14:val="tx1"/>
                  </w14:solidFill>
                </w14:textFill>
              </w:rPr>
              <w:t>李宁，</w:t>
            </w:r>
            <w:r>
              <w:rPr>
                <w:rFonts w:hint="eastAsia"/>
                <w:color w:val="000000" w:themeColor="text1"/>
                <w:sz w:val="21"/>
                <w:szCs w:val="21"/>
                <w:lang w:val="en-US" w:eastAsia="zh-CN"/>
                <w14:textFill>
                  <w14:solidFill>
                    <w14:schemeClr w14:val="tx1"/>
                  </w14:solidFill>
                </w14:textFill>
              </w:rPr>
              <w:t>袁胜，谢兰华，李传经，关宇飞，</w:t>
            </w:r>
            <w:r>
              <w:rPr>
                <w:color w:val="000000" w:themeColor="text1"/>
                <w:sz w:val="21"/>
                <w:szCs w:val="21"/>
                <w14:textFill>
                  <w14:solidFill>
                    <w14:schemeClr w14:val="tx1"/>
                  </w14:solidFill>
                </w14:textFill>
              </w:rPr>
              <w:t>实用新型，</w:t>
            </w:r>
            <w:r>
              <w:rPr>
                <w:rFonts w:hint="eastAsia" w:cstheme="minorBidi"/>
                <w:kern w:val="2"/>
                <w:sz w:val="21"/>
                <w:szCs w:val="21"/>
                <w:lang w:val="en-US" w:eastAsia="zh-CN" w:bidi="ar-SA"/>
              </w:rPr>
              <w:t>一种带自动卷收网布结构的汽车天窗挡风网系统，20120.4.28，中国，ZL 2019 2 0989485.X；计2.1分</w:t>
            </w:r>
          </w:p>
        </w:tc>
        <w:tc>
          <w:tcPr>
            <w:tcW w:w="881"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2.1</w:t>
            </w:r>
          </w:p>
        </w:tc>
        <w:tc>
          <w:tcPr>
            <w:tcW w:w="1274" w:type="dxa"/>
            <w:vAlign w:val="center"/>
          </w:tcPr>
          <w:p w14:paraId="5C24BF56">
            <w:pPr>
              <w:adjustRightInd w:val="0"/>
              <w:snapToGrid w:val="0"/>
              <w:spacing w:line="276" w:lineRule="auto"/>
              <w:jc w:val="center"/>
              <w:rPr>
                <w:color w:val="auto"/>
                <w:szCs w:val="21"/>
              </w:rPr>
            </w:pP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281"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737"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5F38FEC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Times New Roman" w:eastAsia="宋体"/>
                <w:color w:val="000000" w:themeColor="text1"/>
                <w:szCs w:val="21"/>
                <w:highlight w:val="none"/>
                <w:lang w:val="en-US" w:eastAsia="zh-CN"/>
                <w14:textFill>
                  <w14:solidFill>
                    <w14:schemeClr w14:val="tx1"/>
                  </w14:solidFill>
                </w14:textFill>
              </w:rPr>
              <w:t>无</w:t>
            </w:r>
          </w:p>
        </w:tc>
        <w:tc>
          <w:tcPr>
            <w:tcW w:w="881"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color w:val="auto"/>
                <w:szCs w:val="21"/>
              </w:rPr>
            </w:pP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281"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737"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46E9EC2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Times New Roman" w:eastAsia="宋体"/>
                <w:color w:val="000000" w:themeColor="text1"/>
                <w:szCs w:val="21"/>
                <w:highlight w:val="none"/>
                <w:lang w:val="en-US" w:eastAsia="zh-CN"/>
                <w14:textFill>
                  <w14:solidFill>
                    <w14:schemeClr w14:val="tx1"/>
                  </w14:solidFill>
                </w14:textFill>
              </w:rPr>
              <w:t>无</w:t>
            </w:r>
          </w:p>
        </w:tc>
        <w:tc>
          <w:tcPr>
            <w:tcW w:w="881"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color w:val="auto"/>
                <w:szCs w:val="21"/>
              </w:rPr>
            </w:pP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281"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737"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881"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281"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737"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881"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DE5B7F5C-302A-4952-B45A-2E57A801F298}"/>
  </w:font>
  <w:font w:name="方正小标宋简体">
    <w:panose1 w:val="02000000000000000000"/>
    <w:charset w:val="86"/>
    <w:family w:val="auto"/>
    <w:pitch w:val="default"/>
    <w:sig w:usb0="00000001" w:usb1="08000000" w:usb2="00000000" w:usb3="00000000" w:csb0="00040000" w:csb1="00000000"/>
    <w:embedRegular r:id="rId2" w:fontKey="{CD9132B0-EE0E-4074-8648-C8A88D972B9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42C5B0"/>
    <w:multiLevelType w:val="singleLevel"/>
    <w:tmpl w:val="F542C5B0"/>
    <w:lvl w:ilvl="0" w:tentative="0">
      <w:start w:val="1"/>
      <w:numFmt w:val="decimal"/>
      <w:suff w:val="space"/>
      <w:lvlText w:val="[%1]"/>
      <w:lvlJc w:val="left"/>
    </w:lvl>
  </w:abstractNum>
  <w:abstractNum w:abstractNumId="1">
    <w:nsid w:val="358FF6CD"/>
    <w:multiLevelType w:val="singleLevel"/>
    <w:tmpl w:val="358FF6CD"/>
    <w:lvl w:ilvl="0" w:tentative="0">
      <w:start w:val="1"/>
      <w:numFmt w:val="decimal"/>
      <w:suff w:val="nothing"/>
      <w:lvlText w:val="（%1）"/>
      <w:lvlJc w:val="left"/>
    </w:lvl>
  </w:abstractNum>
  <w:abstractNum w:abstractNumId="2">
    <w:nsid w:val="53F348F0"/>
    <w:multiLevelType w:val="singleLevel"/>
    <w:tmpl w:val="53F348F0"/>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791753"/>
    <w:rsid w:val="04C66C1A"/>
    <w:rsid w:val="06AA71FC"/>
    <w:rsid w:val="0B765D27"/>
    <w:rsid w:val="0B826B70"/>
    <w:rsid w:val="0BBC6DCD"/>
    <w:rsid w:val="0CA42D4A"/>
    <w:rsid w:val="0D7F4A35"/>
    <w:rsid w:val="111775DF"/>
    <w:rsid w:val="120310A6"/>
    <w:rsid w:val="12AF6F40"/>
    <w:rsid w:val="12C56CCB"/>
    <w:rsid w:val="14331347"/>
    <w:rsid w:val="14D05CA0"/>
    <w:rsid w:val="15331020"/>
    <w:rsid w:val="15B669CC"/>
    <w:rsid w:val="15DE6CEC"/>
    <w:rsid w:val="1A352CAC"/>
    <w:rsid w:val="1A984688"/>
    <w:rsid w:val="1C8516B4"/>
    <w:rsid w:val="1C940FCA"/>
    <w:rsid w:val="1E446A54"/>
    <w:rsid w:val="236616F5"/>
    <w:rsid w:val="25B2301B"/>
    <w:rsid w:val="277771ED"/>
    <w:rsid w:val="281D7F89"/>
    <w:rsid w:val="2A772858"/>
    <w:rsid w:val="2BE9306B"/>
    <w:rsid w:val="2C852B16"/>
    <w:rsid w:val="2F611AB1"/>
    <w:rsid w:val="2FD25609"/>
    <w:rsid w:val="34333677"/>
    <w:rsid w:val="35737239"/>
    <w:rsid w:val="3BBA2FAB"/>
    <w:rsid w:val="3E104D62"/>
    <w:rsid w:val="3E5A3954"/>
    <w:rsid w:val="3EB61481"/>
    <w:rsid w:val="3F3DCAAD"/>
    <w:rsid w:val="3F622D66"/>
    <w:rsid w:val="40DB2C76"/>
    <w:rsid w:val="44621D74"/>
    <w:rsid w:val="458D6C93"/>
    <w:rsid w:val="45AF476D"/>
    <w:rsid w:val="45E7572B"/>
    <w:rsid w:val="4690311E"/>
    <w:rsid w:val="49362B8C"/>
    <w:rsid w:val="4C12173C"/>
    <w:rsid w:val="4D534390"/>
    <w:rsid w:val="4DF03F98"/>
    <w:rsid w:val="4F8C6B6C"/>
    <w:rsid w:val="50546455"/>
    <w:rsid w:val="5084660D"/>
    <w:rsid w:val="52633105"/>
    <w:rsid w:val="54380D30"/>
    <w:rsid w:val="55C039C6"/>
    <w:rsid w:val="56440D1A"/>
    <w:rsid w:val="565F6965"/>
    <w:rsid w:val="57714343"/>
    <w:rsid w:val="5A243D5C"/>
    <w:rsid w:val="5A706D61"/>
    <w:rsid w:val="5E047168"/>
    <w:rsid w:val="5E4639DD"/>
    <w:rsid w:val="6093187E"/>
    <w:rsid w:val="648D0FE5"/>
    <w:rsid w:val="65AB6FD8"/>
    <w:rsid w:val="66D439F4"/>
    <w:rsid w:val="670026AE"/>
    <w:rsid w:val="674F4202"/>
    <w:rsid w:val="67DC0040"/>
    <w:rsid w:val="6AEE5503"/>
    <w:rsid w:val="6E7FD857"/>
    <w:rsid w:val="733B1704"/>
    <w:rsid w:val="76EC3797"/>
    <w:rsid w:val="77C756F2"/>
    <w:rsid w:val="79942904"/>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4957</Words>
  <Characters>5861</Characters>
  <Lines>30</Lines>
  <Paragraphs>8</Paragraphs>
  <TotalTime>0</TotalTime>
  <ScaleCrop>false</ScaleCrop>
  <LinksUpToDate>false</LinksUpToDate>
  <CharactersWithSpaces>6030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2025-09-03T10:32:00Z</cp:lastPrinted>
  <dcterms:modified xsi:type="dcterms:W3CDTF">2025-09-30T13:24:01Z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D1E6BFDEAFFA4220AE094E4180F6A9FC_13</vt:lpwstr>
  </property>
  <property fmtid="{D5CDD505-2E9C-101B-9397-08002B2CF9AE}" pid="4" name="KSOTemplateDocerSaveRecord">
    <vt:lpwstr>eyJoZGlkIjoiMmEwNTI4MDkzNTczZGYyZGVhNmFjNjQ1MjY0MWMwZDMiLCJ1c2VySWQiOiIyOTI0NjM5In0=</vt:lpwstr>
  </property>
</Properties>
</file>